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B353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>Montr</w:t>
      </w:r>
      <w:r>
        <w:rPr>
          <w:rFonts w:ascii="Arial" w:hAnsi="Arial" w:cs="Arial"/>
          <w:sz w:val="22"/>
          <w:szCs w:val="22"/>
          <w:lang w:val="en-US"/>
        </w:rPr>
        <w:t>é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al, </w:t>
      </w:r>
      <w:r w:rsidRPr="00D66DA1">
        <w:rPr>
          <w:rFonts w:ascii="Arial" w:hAnsi="Arial" w:cs="Arial"/>
          <w:sz w:val="22"/>
          <w:szCs w:val="22"/>
          <w:highlight w:val="lightGray"/>
          <w:lang w:val="en-US"/>
        </w:rPr>
        <w:t>date,</w:t>
      </w:r>
    </w:p>
    <w:p w14:paraId="3FF42E9A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5AC8D4F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7B5D9F5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D66DA1">
        <w:rPr>
          <w:rFonts w:ascii="Arial" w:hAnsi="Arial" w:cs="Arial"/>
          <w:sz w:val="22"/>
          <w:szCs w:val="22"/>
          <w:highlight w:val="lightGray"/>
          <w:lang w:val="en-US"/>
        </w:rPr>
        <w:t>Name of participant</w:t>
      </w:r>
    </w:p>
    <w:p w14:paraId="31EB711F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305F819D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5AFC2539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62CD699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>Dear research participants,</w:t>
      </w:r>
    </w:p>
    <w:p w14:paraId="51316BB8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6FFE5E43" w14:textId="77777777" w:rsidR="00462A6A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7875E00B" w14:textId="66C9C61F" w:rsidR="00462A6A" w:rsidRDefault="003276A5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="00D66DA1" w:rsidRPr="00D66DA1">
        <w:rPr>
          <w:rFonts w:ascii="Arial" w:hAnsi="Arial" w:cs="Arial"/>
          <w:sz w:val="22"/>
          <w:szCs w:val="22"/>
          <w:lang w:val="en-US"/>
        </w:rPr>
        <w:t>he Université de Montréal has reviewed its research practices and established guidelines for</w:t>
      </w:r>
      <w:r>
        <w:rPr>
          <w:rFonts w:ascii="Arial" w:hAnsi="Arial" w:cs="Arial"/>
          <w:sz w:val="22"/>
          <w:szCs w:val="22"/>
          <w:lang w:val="en-US"/>
        </w:rPr>
        <w:t xml:space="preserve"> conducting</w:t>
      </w:r>
      <w:r w:rsidR="00D66DA1" w:rsidRPr="00D66DA1">
        <w:rPr>
          <w:rFonts w:ascii="Arial" w:hAnsi="Arial" w:cs="Arial"/>
          <w:sz w:val="22"/>
          <w:szCs w:val="22"/>
          <w:lang w:val="en-US"/>
        </w:rPr>
        <w:t xml:space="preserve"> safe research for all team</w:t>
      </w:r>
      <w:r w:rsidR="00D66DA1">
        <w:rPr>
          <w:rFonts w:ascii="Arial" w:hAnsi="Arial" w:cs="Arial"/>
          <w:sz w:val="22"/>
          <w:szCs w:val="22"/>
          <w:lang w:val="en-US"/>
        </w:rPr>
        <w:t xml:space="preserve"> </w:t>
      </w:r>
      <w:r w:rsidR="00D66DA1" w:rsidRPr="00D66DA1">
        <w:rPr>
          <w:rFonts w:ascii="Arial" w:hAnsi="Arial" w:cs="Arial"/>
          <w:sz w:val="22"/>
          <w:szCs w:val="22"/>
          <w:lang w:val="en-US"/>
        </w:rPr>
        <w:t>members.</w:t>
      </w:r>
    </w:p>
    <w:p w14:paraId="1144F17F" w14:textId="77777777" w:rsidR="00D66DA1" w:rsidRPr="00C11742" w:rsidRDefault="00D66DA1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69F1B147" w14:textId="0DCD4735" w:rsidR="00D66DA1" w:rsidRPr="00C11742" w:rsidRDefault="00D66DA1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D66DA1">
        <w:rPr>
          <w:rFonts w:ascii="Arial" w:hAnsi="Arial" w:cs="Arial"/>
          <w:sz w:val="22"/>
          <w:szCs w:val="22"/>
          <w:lang w:val="en-US"/>
        </w:rPr>
        <w:t xml:space="preserve">You have been asked or have agreed to participate in a research project. This document is to provide you with additional information more specifically </w:t>
      </w:r>
      <w:r w:rsidR="003276A5">
        <w:rPr>
          <w:rFonts w:ascii="Arial" w:hAnsi="Arial" w:cs="Arial"/>
          <w:sz w:val="22"/>
          <w:szCs w:val="22"/>
          <w:lang w:val="en-US"/>
        </w:rPr>
        <w:t>regarding</w:t>
      </w:r>
      <w:r w:rsidRPr="00D66DA1">
        <w:rPr>
          <w:rFonts w:ascii="Arial" w:hAnsi="Arial" w:cs="Arial"/>
          <w:sz w:val="22"/>
          <w:szCs w:val="22"/>
          <w:lang w:val="en-US"/>
        </w:rPr>
        <w:t xml:space="preserve"> the health measures that will be put in place during the next visits planned for the research project.</w:t>
      </w:r>
    </w:p>
    <w:p w14:paraId="54F7FB4B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0C008C2" w14:textId="6C7D3610" w:rsidR="00D66DA1" w:rsidRDefault="00D66DA1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D66DA1">
        <w:rPr>
          <w:rFonts w:ascii="Arial" w:hAnsi="Arial" w:cs="Arial"/>
          <w:sz w:val="22"/>
          <w:szCs w:val="22"/>
          <w:lang w:val="en-US"/>
        </w:rPr>
        <w:t>Before your participation in research activities, please read the health measures planned to minimize the health risks (COVID-19 as the case may be) of participants and members of research teams:</w:t>
      </w:r>
    </w:p>
    <w:p w14:paraId="17E9D866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011F73DC" w14:textId="1232A5BB" w:rsidR="009B3F30" w:rsidRDefault="003276A5" w:rsidP="004124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Perform the</w:t>
      </w:r>
      <w:r w:rsidR="00D66DA1" w:rsidRPr="00D66DA1">
        <w:rPr>
          <w:rFonts w:ascii="Arial" w:hAnsi="Arial" w:cs="Arial"/>
          <w:sz w:val="22"/>
          <w:szCs w:val="22"/>
          <w:lang w:val="en-US"/>
        </w:rPr>
        <w:t xml:space="preserve"> self-assessment questionnaire at least 2 hours before your appointment for yourself (and your companion if applicable) (</w:t>
      </w:r>
      <w:r w:rsidR="00D66DA1" w:rsidRPr="00D66DA1">
        <w:rPr>
          <w:rFonts w:ascii="Arial" w:hAnsi="Arial" w:cs="Arial"/>
          <w:sz w:val="22"/>
          <w:szCs w:val="22"/>
          <w:highlight w:val="lightGray"/>
          <w:lang w:val="en-US"/>
        </w:rPr>
        <w:t xml:space="preserve">this questionnaire will be sent to you by the research team or is available </w:t>
      </w:r>
      <w:hyperlink r:id="rId5" w:history="1">
        <w:r w:rsidR="00D66DA1" w:rsidRPr="00D66DA1">
          <w:rPr>
            <w:rStyle w:val="Lienhypertexte"/>
            <w:rFonts w:ascii="Arial" w:hAnsi="Arial" w:cs="Arial"/>
            <w:sz w:val="22"/>
            <w:szCs w:val="22"/>
            <w:highlight w:val="lightGray"/>
            <w:lang w:val="en-US"/>
          </w:rPr>
          <w:t>online</w:t>
        </w:r>
      </w:hyperlink>
      <w:r w:rsidR="00D66DA1" w:rsidRPr="00D66DA1">
        <w:rPr>
          <w:rFonts w:ascii="Arial" w:hAnsi="Arial" w:cs="Arial"/>
          <w:sz w:val="22"/>
          <w:szCs w:val="22"/>
          <w:lang w:val="en-US"/>
        </w:rPr>
        <w:t xml:space="preserve">); In case of symptoms, please notify the members of the research team as soon as possible at the following </w:t>
      </w:r>
      <w:r w:rsidR="00D66DA1" w:rsidRPr="00D66DA1">
        <w:rPr>
          <w:rFonts w:ascii="Arial" w:hAnsi="Arial" w:cs="Arial"/>
          <w:sz w:val="22"/>
          <w:szCs w:val="22"/>
          <w:highlight w:val="lightGray"/>
          <w:lang w:val="en-US"/>
        </w:rPr>
        <w:t>coordinates:</w:t>
      </w:r>
    </w:p>
    <w:p w14:paraId="130F1BB5" w14:textId="05610BDD" w:rsidR="00412464" w:rsidRDefault="00D66DA1" w:rsidP="00D66DA1">
      <w:pPr>
        <w:pStyle w:val="Paragraphedeliste"/>
        <w:spacing w:after="120"/>
        <w:ind w:left="717"/>
        <w:rPr>
          <w:rFonts w:ascii="Arial" w:hAnsi="Arial" w:cs="Arial"/>
          <w:sz w:val="18"/>
          <w:szCs w:val="18"/>
          <w:lang w:val="en-US"/>
        </w:rPr>
      </w:pPr>
      <w:r w:rsidRPr="00D66DA1">
        <w:rPr>
          <w:rFonts w:ascii="Arial" w:hAnsi="Arial" w:cs="Arial"/>
          <w:sz w:val="18"/>
          <w:szCs w:val="18"/>
          <w:lang w:val="en-US"/>
        </w:rPr>
        <w:t>:</w:t>
      </w:r>
    </w:p>
    <w:p w14:paraId="0752F138" w14:textId="59340A00" w:rsidR="000D6AF5" w:rsidRDefault="000D6AF5" w:rsidP="004124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0D6AF5">
        <w:rPr>
          <w:rFonts w:ascii="Arial" w:hAnsi="Arial" w:cs="Arial"/>
          <w:sz w:val="22"/>
          <w:szCs w:val="22"/>
          <w:highlight w:val="lightGray"/>
          <w:lang w:val="en-US"/>
        </w:rPr>
        <w:t>In the context of research</w:t>
      </w:r>
      <w:r w:rsidR="003276A5">
        <w:rPr>
          <w:rFonts w:ascii="Arial" w:hAnsi="Arial" w:cs="Arial"/>
          <w:sz w:val="22"/>
          <w:szCs w:val="22"/>
          <w:highlight w:val="lightGray"/>
          <w:lang w:val="en-US"/>
        </w:rPr>
        <w:t xml:space="preserve"> conducted</w:t>
      </w:r>
      <w:r w:rsidRPr="000D6AF5">
        <w:rPr>
          <w:rFonts w:ascii="Arial" w:hAnsi="Arial" w:cs="Arial"/>
          <w:sz w:val="22"/>
          <w:szCs w:val="22"/>
          <w:highlight w:val="lightGray"/>
          <w:lang w:val="en-US"/>
        </w:rPr>
        <w:t xml:space="preserve"> on campus, </w:t>
      </w:r>
      <w:r w:rsidR="003276A5">
        <w:rPr>
          <w:rFonts w:ascii="Arial" w:hAnsi="Arial" w:cs="Arial"/>
          <w:sz w:val="22"/>
          <w:szCs w:val="22"/>
          <w:highlight w:val="lightGray"/>
          <w:lang w:val="en-US"/>
        </w:rPr>
        <w:t xml:space="preserve">you are asked to arrive </w:t>
      </w:r>
      <w:proofErr w:type="gramStart"/>
      <w:r w:rsidR="003276A5">
        <w:rPr>
          <w:rFonts w:ascii="Arial" w:hAnsi="Arial" w:cs="Arial"/>
          <w:sz w:val="22"/>
          <w:szCs w:val="22"/>
          <w:highlight w:val="lightGray"/>
          <w:lang w:val="en-US"/>
        </w:rPr>
        <w:t>(</w:t>
      </w:r>
      <w:r w:rsidRPr="000D6AF5">
        <w:rPr>
          <w:rFonts w:ascii="Arial" w:hAnsi="Arial" w:cs="Arial"/>
          <w:sz w:val="22"/>
          <w:szCs w:val="22"/>
          <w:highlight w:val="lightGray"/>
          <w:lang w:val="en-US"/>
        </w:rPr>
        <w:t xml:space="preserve"> establishment</w:t>
      </w:r>
      <w:proofErr w:type="gramEnd"/>
      <w:r w:rsidRPr="000D6AF5">
        <w:rPr>
          <w:rFonts w:ascii="Arial" w:hAnsi="Arial" w:cs="Arial"/>
          <w:sz w:val="22"/>
          <w:szCs w:val="22"/>
          <w:highlight w:val="lightGray"/>
          <w:lang w:val="en-US"/>
        </w:rPr>
        <w:t>, campus, pavilion, door number, room, which parking lot to use if you use your own car</w:t>
      </w:r>
      <w:r w:rsidR="003276A5">
        <w:rPr>
          <w:rFonts w:ascii="Arial" w:hAnsi="Arial" w:cs="Arial"/>
          <w:sz w:val="22"/>
          <w:szCs w:val="22"/>
          <w:highlight w:val="lightGray"/>
          <w:lang w:val="en-US"/>
        </w:rPr>
        <w:t>)</w:t>
      </w:r>
      <w:r w:rsidRPr="000D6AF5">
        <w:rPr>
          <w:rFonts w:ascii="Arial" w:hAnsi="Arial" w:cs="Arial"/>
          <w:sz w:val="22"/>
          <w:szCs w:val="22"/>
          <w:highlight w:val="lightGray"/>
          <w:lang w:val="en-US"/>
        </w:rPr>
        <w:t xml:space="preserve">. A member of the </w:t>
      </w:r>
      <w:r w:rsidR="003276A5">
        <w:rPr>
          <w:rFonts w:ascii="Arial" w:hAnsi="Arial" w:cs="Arial"/>
          <w:sz w:val="22"/>
          <w:szCs w:val="22"/>
          <w:highlight w:val="lightGray"/>
          <w:lang w:val="en-US"/>
        </w:rPr>
        <w:t>re</w:t>
      </w:r>
      <w:r w:rsidRPr="000D6AF5">
        <w:rPr>
          <w:rFonts w:ascii="Arial" w:hAnsi="Arial" w:cs="Arial"/>
          <w:sz w:val="22"/>
          <w:szCs w:val="22"/>
          <w:highlight w:val="lightGray"/>
          <w:lang w:val="en-US"/>
        </w:rPr>
        <w:t>search team will greet you at the designated entrance gate</w:t>
      </w:r>
      <w:r w:rsidRPr="000D6AF5">
        <w:rPr>
          <w:rFonts w:ascii="Arial" w:hAnsi="Arial" w:cs="Arial"/>
          <w:sz w:val="22"/>
          <w:szCs w:val="22"/>
          <w:lang w:val="en-US"/>
        </w:rPr>
        <w:t>.</w:t>
      </w:r>
    </w:p>
    <w:p w14:paraId="2EAC783E" w14:textId="3EACD681" w:rsidR="00462A6A" w:rsidRDefault="000D6AF5" w:rsidP="004124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0D6AF5">
        <w:rPr>
          <w:rFonts w:ascii="Arial" w:hAnsi="Arial" w:cs="Arial"/>
          <w:sz w:val="22"/>
          <w:szCs w:val="22"/>
          <w:lang w:val="en-US"/>
        </w:rPr>
        <w:t>At the beginning of your meeting with the research team, a validation of your health declaration, and that of your companion, if applicable, will be carried out by the staff of the research team.</w:t>
      </w:r>
    </w:p>
    <w:p w14:paraId="07ADEDC1" w14:textId="41EB19DB" w:rsidR="000D6AF5" w:rsidRDefault="000D6AF5" w:rsidP="004124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0D6AF5">
        <w:rPr>
          <w:rFonts w:ascii="Arial" w:hAnsi="Arial" w:cs="Arial"/>
          <w:sz w:val="22"/>
          <w:szCs w:val="22"/>
          <w:lang w:val="en-US"/>
        </w:rPr>
        <w:t xml:space="preserve">You will be </w:t>
      </w:r>
      <w:r>
        <w:rPr>
          <w:rFonts w:ascii="Arial" w:hAnsi="Arial" w:cs="Arial"/>
          <w:sz w:val="22"/>
          <w:szCs w:val="22"/>
          <w:lang w:val="en-US"/>
        </w:rPr>
        <w:t>invited</w:t>
      </w:r>
      <w:r w:rsidRPr="000D6AF5">
        <w:rPr>
          <w:rFonts w:ascii="Arial" w:hAnsi="Arial" w:cs="Arial"/>
          <w:sz w:val="22"/>
          <w:szCs w:val="22"/>
          <w:lang w:val="en-US"/>
        </w:rPr>
        <w:t xml:space="preserve"> to perform </w:t>
      </w:r>
      <w:hyperlink r:id="rId6" w:history="1">
        <w:r w:rsidRPr="000D6AF5">
          <w:rPr>
            <w:rStyle w:val="Lienhypertexte"/>
            <w:rFonts w:ascii="Arial" w:hAnsi="Arial" w:cs="Arial"/>
            <w:sz w:val="22"/>
            <w:szCs w:val="22"/>
            <w:lang w:val="en-US"/>
          </w:rPr>
          <w:t>hand hygiene</w:t>
        </w:r>
      </w:hyperlink>
      <w:r w:rsidRPr="000D6AF5">
        <w:rPr>
          <w:rFonts w:ascii="Arial" w:hAnsi="Arial" w:cs="Arial"/>
          <w:sz w:val="22"/>
          <w:szCs w:val="22"/>
          <w:lang w:val="en-US"/>
        </w:rPr>
        <w:t xml:space="preserve"> during your visit (at least when you arrive and when you leave)</w:t>
      </w:r>
    </w:p>
    <w:p w14:paraId="734BC258" w14:textId="053ACB28" w:rsidR="000D6AF5" w:rsidRPr="009B3F30" w:rsidRDefault="000D6AF5" w:rsidP="004124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0D6AF5">
        <w:rPr>
          <w:rFonts w:ascii="Arial" w:hAnsi="Arial" w:cs="Arial"/>
          <w:sz w:val="22"/>
          <w:szCs w:val="22"/>
          <w:lang w:val="en-US"/>
        </w:rPr>
        <w:t xml:space="preserve">Masks are available upon arrival at the research site. You can therefore use a </w:t>
      </w:r>
      <w:hyperlink r:id="rId7" w:history="1">
        <w:r>
          <w:rPr>
            <w:rStyle w:val="Lienhypertexte"/>
            <w:rFonts w:ascii="Arial" w:hAnsi="Arial" w:cs="Arial"/>
            <w:sz w:val="22"/>
            <w:szCs w:val="22"/>
            <w:lang w:val="en-US"/>
          </w:rPr>
          <w:t>procedure mask</w:t>
        </w:r>
      </w:hyperlink>
      <w:r w:rsidRPr="000D6AF5">
        <w:rPr>
          <w:rFonts w:ascii="Arial" w:hAnsi="Arial" w:cs="Arial"/>
          <w:sz w:val="22"/>
          <w:szCs w:val="22"/>
          <w:lang w:val="en-US"/>
        </w:rPr>
        <w:t>, if you wish. In addition, you can ask members of the research team to do the same</w:t>
      </w:r>
    </w:p>
    <w:p w14:paraId="4E9DF0E2" w14:textId="69890258" w:rsidR="000D6AF5" w:rsidRDefault="000D6AF5" w:rsidP="00C222E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0D6AF5">
        <w:rPr>
          <w:rFonts w:ascii="Arial" w:hAnsi="Arial" w:cs="Arial"/>
          <w:sz w:val="22"/>
          <w:szCs w:val="22"/>
          <w:lang w:val="en-US"/>
        </w:rPr>
        <w:t xml:space="preserve">The research </w:t>
      </w:r>
      <w:r>
        <w:rPr>
          <w:rFonts w:ascii="Arial" w:hAnsi="Arial" w:cs="Arial"/>
          <w:sz w:val="22"/>
          <w:szCs w:val="22"/>
          <w:lang w:val="en-US"/>
        </w:rPr>
        <w:t>members</w:t>
      </w:r>
      <w:r w:rsidRPr="000D6AF5">
        <w:rPr>
          <w:rFonts w:ascii="Arial" w:hAnsi="Arial" w:cs="Arial"/>
          <w:sz w:val="22"/>
          <w:szCs w:val="22"/>
          <w:lang w:val="en-US"/>
        </w:rPr>
        <w:t xml:space="preserve"> will respect the health standards according to the potential risk of transmission (assessment of symptoms before meeting you, </w:t>
      </w:r>
      <w:hyperlink r:id="rId8" w:history="1">
        <w:r w:rsidRPr="00505F5A">
          <w:rPr>
            <w:rStyle w:val="Lienhypertexte"/>
            <w:rFonts w:ascii="Arial" w:hAnsi="Arial" w:cs="Arial"/>
            <w:sz w:val="22"/>
            <w:szCs w:val="22"/>
            <w:lang w:val="en-US"/>
          </w:rPr>
          <w:t>wash their hands</w:t>
        </w:r>
      </w:hyperlink>
      <w:r>
        <w:rPr>
          <w:rStyle w:val="Lienhypertexte"/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 xml:space="preserve">respect 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physical distancing </w:t>
      </w:r>
      <w:r>
        <w:rPr>
          <w:rFonts w:ascii="Arial" w:hAnsi="Arial" w:cs="Arial"/>
          <w:sz w:val="22"/>
          <w:szCs w:val="22"/>
          <w:lang w:val="en-US"/>
        </w:rPr>
        <w:t xml:space="preserve">measures whenever possible, </w:t>
      </w:r>
      <w:r w:rsidRPr="0006285B">
        <w:rPr>
          <w:rFonts w:ascii="Arial" w:hAnsi="Arial" w:cs="Arial"/>
          <w:sz w:val="22"/>
          <w:szCs w:val="22"/>
          <w:lang w:val="en-US"/>
        </w:rPr>
        <w:t xml:space="preserve">compliance with </w:t>
      </w:r>
      <w:hyperlink r:id="rId9" w:history="1">
        <w:r w:rsidRPr="0006285B">
          <w:rPr>
            <w:rStyle w:val="Lienhypertexte"/>
            <w:rFonts w:ascii="Arial" w:hAnsi="Arial" w:cs="Arial"/>
            <w:sz w:val="22"/>
            <w:szCs w:val="22"/>
            <w:lang w:val="en-US"/>
          </w:rPr>
          <w:t>respiratory hygiene</w:t>
        </w:r>
      </w:hyperlink>
      <w:r w:rsidRPr="000D6AF5">
        <w:rPr>
          <w:rFonts w:ascii="Arial" w:hAnsi="Arial" w:cs="Arial"/>
          <w:sz w:val="22"/>
          <w:szCs w:val="22"/>
          <w:lang w:val="en-US"/>
        </w:rPr>
        <w:t>, etc.);</w:t>
      </w:r>
    </w:p>
    <w:p w14:paraId="1E6996D5" w14:textId="7E349C1C" w:rsidR="00462A6A" w:rsidRPr="00A87995" w:rsidRDefault="00462A6A" w:rsidP="00C222E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A87995">
        <w:rPr>
          <w:rFonts w:ascii="Arial" w:hAnsi="Arial" w:cs="Arial"/>
          <w:sz w:val="22"/>
          <w:szCs w:val="22"/>
          <w:lang w:val="en-US"/>
        </w:rPr>
        <w:t>In connection with the work</w:t>
      </w:r>
      <w:r w:rsidR="003276A5">
        <w:rPr>
          <w:rFonts w:ascii="Arial" w:hAnsi="Arial" w:cs="Arial"/>
          <w:sz w:val="22"/>
          <w:szCs w:val="22"/>
          <w:lang w:val="en-US"/>
        </w:rPr>
        <w:t xml:space="preserve"> specifically</w:t>
      </w:r>
      <w:r w:rsidRPr="00A87995">
        <w:rPr>
          <w:rFonts w:ascii="Arial" w:hAnsi="Arial" w:cs="Arial"/>
          <w:sz w:val="22"/>
          <w:szCs w:val="22"/>
          <w:lang w:val="en-US"/>
        </w:rPr>
        <w:t xml:space="preserve"> conducted by </w:t>
      </w:r>
      <w:r w:rsidR="003276A5">
        <w:rPr>
          <w:rFonts w:ascii="Arial" w:hAnsi="Arial" w:cs="Arial"/>
          <w:sz w:val="22"/>
          <w:szCs w:val="22"/>
          <w:lang w:val="en-US"/>
        </w:rPr>
        <w:t xml:space="preserve">the </w:t>
      </w:r>
      <w:r w:rsidRPr="00A87995">
        <w:rPr>
          <w:rFonts w:ascii="Arial" w:hAnsi="Arial" w:cs="Arial"/>
          <w:sz w:val="22"/>
          <w:szCs w:val="22"/>
          <w:lang w:val="en-US"/>
        </w:rPr>
        <w:t xml:space="preserve">research team, </w:t>
      </w:r>
      <w:r w:rsidR="003276A5">
        <w:rPr>
          <w:rFonts w:ascii="Arial" w:hAnsi="Arial" w:cs="Arial"/>
          <w:sz w:val="22"/>
          <w:szCs w:val="22"/>
          <w:lang w:val="en-US"/>
        </w:rPr>
        <w:t>the following measures</w:t>
      </w:r>
      <w:r w:rsidRPr="00A87995">
        <w:rPr>
          <w:rFonts w:ascii="Arial" w:hAnsi="Arial" w:cs="Arial"/>
          <w:sz w:val="22"/>
          <w:szCs w:val="22"/>
          <w:lang w:val="en-US"/>
        </w:rPr>
        <w:t xml:space="preserve"> have </w:t>
      </w:r>
      <w:r w:rsidR="003276A5">
        <w:rPr>
          <w:rFonts w:ascii="Arial" w:hAnsi="Arial" w:cs="Arial"/>
          <w:sz w:val="22"/>
          <w:szCs w:val="22"/>
          <w:lang w:val="en-US"/>
        </w:rPr>
        <w:t>been implemented</w:t>
      </w:r>
      <w:r w:rsidRPr="00A87995">
        <w:rPr>
          <w:rFonts w:ascii="Arial" w:hAnsi="Arial" w:cs="Arial"/>
          <w:sz w:val="22"/>
          <w:szCs w:val="22"/>
          <w:lang w:val="en-US"/>
        </w:rPr>
        <w:t>:</w:t>
      </w:r>
    </w:p>
    <w:p w14:paraId="53CC1BF4" w14:textId="184C1D60" w:rsidR="00462A6A" w:rsidRPr="00177E08" w:rsidRDefault="00D42CAA" w:rsidP="00C222E9">
      <w:pPr>
        <w:pStyle w:val="Paragraphedeliste"/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  <w:highlight w:val="lightGray"/>
          <w:u w:val="single"/>
          <w:lang w:val="en-US"/>
        </w:rPr>
      </w:pPr>
      <w:r>
        <w:rPr>
          <w:rFonts w:ascii="Arial" w:hAnsi="Arial" w:cs="Arial"/>
          <w:sz w:val="22"/>
          <w:szCs w:val="22"/>
          <w:highlight w:val="lightGray"/>
          <w:u w:val="single"/>
          <w:lang w:val="en-US"/>
        </w:rPr>
        <w:t>(</w:t>
      </w:r>
      <w:r w:rsidR="00462A6A" w:rsidRPr="00177E08">
        <w:rPr>
          <w:rFonts w:ascii="Arial" w:hAnsi="Arial" w:cs="Arial"/>
          <w:sz w:val="22"/>
          <w:szCs w:val="22"/>
          <w:highlight w:val="lightGray"/>
          <w:u w:val="single"/>
          <w:lang w:val="en-US"/>
        </w:rPr>
        <w:t>Describe the specific measures taken by the research team</w:t>
      </w:r>
      <w:r>
        <w:rPr>
          <w:rFonts w:ascii="Arial" w:hAnsi="Arial" w:cs="Arial"/>
          <w:sz w:val="22"/>
          <w:szCs w:val="22"/>
          <w:highlight w:val="lightGray"/>
          <w:u w:val="single"/>
          <w:lang w:val="en-US"/>
        </w:rPr>
        <w:t>)</w:t>
      </w:r>
    </w:p>
    <w:p w14:paraId="585950C8" w14:textId="77777777" w:rsidR="00462A6A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757CED22" w14:textId="77777777" w:rsidR="009B3F30" w:rsidRPr="00C11742" w:rsidRDefault="009B3F30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29925CE0" w14:textId="77777777" w:rsidR="00462A6A" w:rsidRPr="003A547C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F16C084" w14:textId="36D2EE59" w:rsidR="00462A6A" w:rsidRPr="00C11742" w:rsidRDefault="00A87995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A87995">
        <w:rPr>
          <w:rFonts w:ascii="Arial" w:hAnsi="Arial" w:cs="Arial"/>
          <w:sz w:val="22"/>
          <w:szCs w:val="22"/>
          <w:lang w:val="en-US"/>
        </w:rPr>
        <w:lastRenderedPageBreak/>
        <w:t xml:space="preserve">If you wish, the research team can put in place the following additional measures: </w:t>
      </w:r>
      <w:proofErr w:type="gramStart"/>
      <w:r w:rsidRPr="00A87995">
        <w:rPr>
          <w:rFonts w:ascii="Arial" w:hAnsi="Arial" w:cs="Arial"/>
          <w:sz w:val="22"/>
          <w:szCs w:val="22"/>
          <w:lang w:val="en-US"/>
        </w:rPr>
        <w:t>wearing a procedure mask at all times</w:t>
      </w:r>
      <w:proofErr w:type="gramEnd"/>
      <w:r w:rsidRPr="00A87995">
        <w:rPr>
          <w:rFonts w:ascii="Arial" w:hAnsi="Arial" w:cs="Arial"/>
          <w:sz w:val="22"/>
          <w:szCs w:val="22"/>
          <w:lang w:val="en-US"/>
        </w:rPr>
        <w:t>, distancing 2 meters from everyone, washing your hands frequently, wearing safety glasses or all adequate measures.</w:t>
      </w:r>
    </w:p>
    <w:p w14:paraId="46E43E0D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3D2D581B" w14:textId="47C4D498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 xml:space="preserve">If you have any questions, please do not hesitate to contact </w:t>
      </w:r>
      <w:r w:rsidRPr="00741540">
        <w:rPr>
          <w:rFonts w:ascii="Arial" w:hAnsi="Arial" w:cs="Arial"/>
          <w:sz w:val="22"/>
          <w:szCs w:val="22"/>
          <w:highlight w:val="lightGray"/>
          <w:lang w:val="en-US"/>
        </w:rPr>
        <w:t>(name field)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of the research team, </w:t>
      </w:r>
      <w:r w:rsidR="00420A71">
        <w:rPr>
          <w:rFonts w:ascii="Arial" w:hAnsi="Arial" w:cs="Arial"/>
          <w:sz w:val="22"/>
          <w:szCs w:val="22"/>
          <w:lang w:val="en-US"/>
        </w:rPr>
        <w:t>who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</w:t>
      </w:r>
      <w:r w:rsidR="00420A71" w:rsidRPr="00C11742">
        <w:rPr>
          <w:rFonts w:ascii="Arial" w:hAnsi="Arial" w:cs="Arial"/>
          <w:sz w:val="22"/>
          <w:szCs w:val="22"/>
          <w:lang w:val="en-US"/>
        </w:rPr>
        <w:t xml:space="preserve">will </w:t>
      </w:r>
      <w:r w:rsidR="00420A71">
        <w:rPr>
          <w:rFonts w:ascii="Arial" w:hAnsi="Arial" w:cs="Arial"/>
          <w:sz w:val="22"/>
          <w:szCs w:val="22"/>
          <w:lang w:val="en-US"/>
        </w:rPr>
        <w:t>happily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 answer you.</w:t>
      </w:r>
    </w:p>
    <w:p w14:paraId="0F99E66B" w14:textId="77777777" w:rsidR="00462A6A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E294BD9" w14:textId="41DB7332" w:rsidR="00462A6A" w:rsidRPr="00C11742" w:rsidRDefault="00462A6A" w:rsidP="003A547C">
      <w:pPr>
        <w:tabs>
          <w:tab w:val="center" w:pos="43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41540">
        <w:rPr>
          <w:rFonts w:ascii="Arial" w:hAnsi="Arial" w:cs="Arial"/>
          <w:sz w:val="22"/>
          <w:szCs w:val="22"/>
          <w:highlight w:val="lightGray"/>
          <w:lang w:val="en-US"/>
        </w:rPr>
        <w:t>(</w:t>
      </w:r>
      <w:proofErr w:type="gramStart"/>
      <w:r w:rsidRPr="00741540">
        <w:rPr>
          <w:rFonts w:ascii="Arial" w:hAnsi="Arial" w:cs="Arial"/>
          <w:sz w:val="22"/>
          <w:szCs w:val="22"/>
          <w:highlight w:val="lightGray"/>
          <w:lang w:val="en-US"/>
        </w:rPr>
        <w:t>email</w:t>
      </w:r>
      <w:proofErr w:type="gramEnd"/>
      <w:r w:rsidRPr="00741540">
        <w:rPr>
          <w:rFonts w:ascii="Arial" w:hAnsi="Arial" w:cs="Arial"/>
          <w:sz w:val="22"/>
          <w:szCs w:val="22"/>
          <w:highlight w:val="lightGray"/>
          <w:lang w:val="en-US"/>
        </w:rPr>
        <w:t xml:space="preserve"> and phone field)</w:t>
      </w:r>
      <w:r w:rsidR="003A547C">
        <w:rPr>
          <w:rFonts w:ascii="Arial" w:hAnsi="Arial" w:cs="Arial"/>
          <w:sz w:val="22"/>
          <w:szCs w:val="22"/>
          <w:highlight w:val="lightGray"/>
          <w:lang w:val="en-US"/>
        </w:rPr>
        <w:tab/>
      </w:r>
    </w:p>
    <w:p w14:paraId="314F876B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530AE791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C11742">
        <w:rPr>
          <w:rFonts w:ascii="Arial" w:hAnsi="Arial" w:cs="Arial"/>
          <w:sz w:val="22"/>
          <w:szCs w:val="22"/>
          <w:lang w:val="en-US"/>
        </w:rPr>
        <w:t xml:space="preserve">Finally, we would like to take this opportunity to sincerely thank you for </w:t>
      </w:r>
      <w:r>
        <w:rPr>
          <w:rFonts w:ascii="Arial" w:hAnsi="Arial" w:cs="Arial"/>
          <w:sz w:val="22"/>
          <w:szCs w:val="22"/>
          <w:lang w:val="en-US"/>
        </w:rPr>
        <w:t xml:space="preserve">participating </w:t>
      </w:r>
      <w:r w:rsidRPr="00C11742">
        <w:rPr>
          <w:rFonts w:ascii="Arial" w:hAnsi="Arial" w:cs="Arial"/>
          <w:sz w:val="22"/>
          <w:szCs w:val="22"/>
          <w:lang w:val="en-US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UdeM’s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research activities.</w:t>
      </w:r>
    </w:p>
    <w:p w14:paraId="64627B64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3124A3BD" w14:textId="77777777" w:rsidR="00462A6A" w:rsidRPr="00C11742" w:rsidRDefault="00462A6A" w:rsidP="009B3F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41540">
        <w:rPr>
          <w:rFonts w:ascii="Arial" w:hAnsi="Arial" w:cs="Arial"/>
          <w:sz w:val="22"/>
          <w:szCs w:val="22"/>
          <w:highlight w:val="lightGray"/>
          <w:lang w:val="en-US"/>
        </w:rPr>
        <w:t>(</w:t>
      </w:r>
      <w:proofErr w:type="gramStart"/>
      <w:r w:rsidRPr="00741540">
        <w:rPr>
          <w:rFonts w:ascii="Arial" w:hAnsi="Arial" w:cs="Arial"/>
          <w:sz w:val="22"/>
          <w:szCs w:val="22"/>
          <w:highlight w:val="lightGray"/>
          <w:lang w:val="en-US"/>
        </w:rPr>
        <w:t>field</w:t>
      </w:r>
      <w:proofErr w:type="gramEnd"/>
      <w:r w:rsidRPr="00741540">
        <w:rPr>
          <w:rFonts w:ascii="Arial" w:hAnsi="Arial" w:cs="Arial"/>
          <w:sz w:val="22"/>
          <w:szCs w:val="22"/>
          <w:highlight w:val="lightGray"/>
          <w:lang w:val="en-US"/>
        </w:rPr>
        <w:t xml:space="preserve"> name of the research director)</w:t>
      </w:r>
    </w:p>
    <w:p w14:paraId="65AA5F87" w14:textId="77777777" w:rsidR="00462A6A" w:rsidRDefault="00462A6A">
      <w:pPr>
        <w:rPr>
          <w:lang w:val="en-US"/>
        </w:rPr>
      </w:pPr>
      <w:r>
        <w:rPr>
          <w:lang w:val="en-US"/>
        </w:rPr>
        <w:br w:type="page"/>
      </w:r>
    </w:p>
    <w:p w14:paraId="541F9E06" w14:textId="77777777" w:rsidR="00462A6A" w:rsidRPr="00C11742" w:rsidRDefault="00462A6A" w:rsidP="00505F5A">
      <w:pPr>
        <w:pStyle w:val="Titre2"/>
        <w:rPr>
          <w:lang w:val="en-US"/>
        </w:rPr>
      </w:pPr>
      <w:bookmarkStart w:id="0" w:name="_Appendix:_Factors_that"/>
      <w:bookmarkEnd w:id="0"/>
      <w:r w:rsidRPr="00C11742">
        <w:rPr>
          <w:lang w:val="en-US"/>
        </w:rPr>
        <w:lastRenderedPageBreak/>
        <w:t xml:space="preserve">Appendix: </w:t>
      </w:r>
      <w:r>
        <w:rPr>
          <w:lang w:val="en-US"/>
        </w:rPr>
        <w:t>F</w:t>
      </w:r>
      <w:r w:rsidRPr="00C11742">
        <w:rPr>
          <w:lang w:val="en-US"/>
        </w:rPr>
        <w:t xml:space="preserve">actors </w:t>
      </w:r>
      <w:r>
        <w:rPr>
          <w:lang w:val="en-US"/>
        </w:rPr>
        <w:t xml:space="preserve">that may make a person more vulnerable </w:t>
      </w:r>
      <w:r w:rsidRPr="00C11742">
        <w:rPr>
          <w:lang w:val="en-US"/>
        </w:rPr>
        <w:t xml:space="preserve">to complications </w:t>
      </w:r>
      <w:r>
        <w:rPr>
          <w:lang w:val="en-US"/>
        </w:rPr>
        <w:t>from</w:t>
      </w:r>
      <w:r w:rsidRPr="00C11742">
        <w:rPr>
          <w:lang w:val="en-US"/>
        </w:rPr>
        <w:t xml:space="preserve"> COVID-19</w:t>
      </w:r>
    </w:p>
    <w:p w14:paraId="5BFE402B" w14:textId="77777777" w:rsidR="00462A6A" w:rsidRPr="00C11742" w:rsidRDefault="00462A6A" w:rsidP="00462A6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A9A3657" w14:textId="77777777" w:rsidR="00505F5A" w:rsidRPr="00505F5A" w:rsidRDefault="00505F5A" w:rsidP="00EC38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505F5A">
        <w:rPr>
          <w:rFonts w:ascii="Arial" w:hAnsi="Arial" w:cs="Arial"/>
          <w:sz w:val="22"/>
          <w:szCs w:val="22"/>
          <w:lang w:val="en-US"/>
        </w:rPr>
        <w:t>A) GROUPS AT HIGH RISK OF COMPLICATIONS FROM COVID-19 (immunosuppression)</w:t>
      </w:r>
    </w:p>
    <w:p w14:paraId="2923552A" w14:textId="77777777" w:rsidR="00505F5A" w:rsidRPr="00505F5A" w:rsidRDefault="00505F5A" w:rsidP="00EC38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4B86F084" w14:textId="77777777" w:rsidR="00505F5A" w:rsidRPr="00505F5A" w:rsidRDefault="00505F5A" w:rsidP="00EC38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505F5A">
        <w:rPr>
          <w:rFonts w:ascii="Arial" w:hAnsi="Arial" w:cs="Arial"/>
          <w:sz w:val="22"/>
          <w:szCs w:val="22"/>
          <w:lang w:val="en-US"/>
        </w:rPr>
        <w:t>A person who has recently received or is receiving radiotherapy or chemotherapy.</w:t>
      </w:r>
    </w:p>
    <w:p w14:paraId="12C5E401" w14:textId="77777777" w:rsidR="00505F5A" w:rsidRPr="00505F5A" w:rsidRDefault="00505F5A" w:rsidP="00EC38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505F5A">
        <w:rPr>
          <w:rFonts w:ascii="Arial" w:hAnsi="Arial" w:cs="Arial"/>
          <w:sz w:val="22"/>
          <w:szCs w:val="22"/>
          <w:lang w:val="en-US"/>
        </w:rPr>
        <w:t> Liver transplant recipient under one of the following conditions:</w:t>
      </w:r>
    </w:p>
    <w:p w14:paraId="4CC8AAFE" w14:textId="77777777" w:rsidR="00505F5A" w:rsidRPr="00505F5A" w:rsidRDefault="00505F5A" w:rsidP="00EC38D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505F5A">
        <w:rPr>
          <w:rFonts w:ascii="Arial" w:hAnsi="Arial" w:cs="Arial"/>
          <w:sz w:val="22"/>
          <w:szCs w:val="22"/>
          <w:lang w:val="en-US"/>
        </w:rPr>
        <w:t xml:space="preserve">• The transplant took place less than a year </w:t>
      </w:r>
      <w:proofErr w:type="gramStart"/>
      <w:r w:rsidRPr="00505F5A">
        <w:rPr>
          <w:rFonts w:ascii="Arial" w:hAnsi="Arial" w:cs="Arial"/>
          <w:sz w:val="22"/>
          <w:szCs w:val="22"/>
          <w:lang w:val="en-US"/>
        </w:rPr>
        <w:t>ago;</w:t>
      </w:r>
      <w:proofErr w:type="gramEnd"/>
    </w:p>
    <w:p w14:paraId="4954A7B1" w14:textId="77777777" w:rsidR="00505F5A" w:rsidRPr="00505F5A" w:rsidRDefault="00505F5A" w:rsidP="00EC38D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505F5A">
        <w:rPr>
          <w:rFonts w:ascii="Arial" w:hAnsi="Arial" w:cs="Arial"/>
          <w:sz w:val="22"/>
          <w:szCs w:val="22"/>
          <w:lang w:val="en-US"/>
        </w:rPr>
        <w:t xml:space="preserve">• There has been a rejection treatment within the last six </w:t>
      </w:r>
      <w:proofErr w:type="gramStart"/>
      <w:r w:rsidRPr="00505F5A">
        <w:rPr>
          <w:rFonts w:ascii="Arial" w:hAnsi="Arial" w:cs="Arial"/>
          <w:sz w:val="22"/>
          <w:szCs w:val="22"/>
          <w:lang w:val="en-US"/>
        </w:rPr>
        <w:t>months;</w:t>
      </w:r>
      <w:proofErr w:type="gramEnd"/>
    </w:p>
    <w:p w14:paraId="4FB20DD6" w14:textId="77777777" w:rsidR="00505F5A" w:rsidRPr="00505F5A" w:rsidRDefault="00505F5A" w:rsidP="00EC38D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505F5A">
        <w:rPr>
          <w:rFonts w:ascii="Arial" w:hAnsi="Arial" w:cs="Arial"/>
          <w:sz w:val="22"/>
          <w:szCs w:val="22"/>
          <w:lang w:val="en-US"/>
        </w:rPr>
        <w:t xml:space="preserve">• The immunosuppressant regimen has been increased in the last six </w:t>
      </w:r>
      <w:proofErr w:type="gramStart"/>
      <w:r w:rsidRPr="00505F5A">
        <w:rPr>
          <w:rFonts w:ascii="Arial" w:hAnsi="Arial" w:cs="Arial"/>
          <w:sz w:val="22"/>
          <w:szCs w:val="22"/>
          <w:lang w:val="en-US"/>
        </w:rPr>
        <w:t>months;</w:t>
      </w:r>
      <w:proofErr w:type="gramEnd"/>
    </w:p>
    <w:p w14:paraId="7CC9B117" w14:textId="77777777" w:rsidR="00505F5A" w:rsidRPr="00505F5A" w:rsidRDefault="00505F5A" w:rsidP="00EC38D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505F5A">
        <w:rPr>
          <w:rFonts w:ascii="Arial" w:hAnsi="Arial" w:cs="Arial"/>
          <w:sz w:val="22"/>
          <w:szCs w:val="22"/>
          <w:lang w:val="en-US"/>
        </w:rPr>
        <w:t>• The treatment combines two or more immunosuppressants.</w:t>
      </w:r>
    </w:p>
    <w:p w14:paraId="609BC434" w14:textId="77777777" w:rsidR="00505F5A" w:rsidRPr="00505F5A" w:rsidRDefault="00505F5A" w:rsidP="00EC38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505F5A">
        <w:rPr>
          <w:rFonts w:ascii="Arial" w:hAnsi="Arial" w:cs="Arial"/>
          <w:sz w:val="22"/>
          <w:szCs w:val="22"/>
          <w:lang w:val="en-US"/>
        </w:rPr>
        <w:t> Heart, lung, kidney, pancreas, intestine, intestine-liver, intestine-</w:t>
      </w:r>
      <w:proofErr w:type="gramStart"/>
      <w:r w:rsidRPr="00505F5A">
        <w:rPr>
          <w:rFonts w:ascii="Arial" w:hAnsi="Arial" w:cs="Arial"/>
          <w:sz w:val="22"/>
          <w:szCs w:val="22"/>
          <w:lang w:val="en-US"/>
        </w:rPr>
        <w:t>pancreas</w:t>
      </w:r>
      <w:proofErr w:type="gramEnd"/>
      <w:r w:rsidRPr="00505F5A">
        <w:rPr>
          <w:rFonts w:ascii="Arial" w:hAnsi="Arial" w:cs="Arial"/>
          <w:sz w:val="22"/>
          <w:szCs w:val="22"/>
          <w:lang w:val="en-US"/>
        </w:rPr>
        <w:t xml:space="preserve"> and other multi-organ transplant recipients.</w:t>
      </w:r>
    </w:p>
    <w:p w14:paraId="52C2DAAD" w14:textId="77777777" w:rsidR="00505F5A" w:rsidRPr="00505F5A" w:rsidRDefault="00505F5A" w:rsidP="00EC38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505F5A">
        <w:rPr>
          <w:rFonts w:ascii="Arial" w:hAnsi="Arial" w:cs="Arial"/>
          <w:sz w:val="22"/>
          <w:szCs w:val="22"/>
          <w:lang w:val="en-US"/>
        </w:rPr>
        <w:t> Person transplanted with hematopoietic stem cells (bone marrow transplant, cord, etc.) under one of the following conditions:</w:t>
      </w:r>
    </w:p>
    <w:p w14:paraId="184C0C3F" w14:textId="77777777" w:rsidR="00505F5A" w:rsidRPr="00505F5A" w:rsidRDefault="00505F5A" w:rsidP="00EC38D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505F5A">
        <w:rPr>
          <w:rFonts w:ascii="Arial" w:hAnsi="Arial" w:cs="Arial"/>
          <w:sz w:val="22"/>
          <w:szCs w:val="22"/>
          <w:lang w:val="en-US"/>
        </w:rPr>
        <w:t xml:space="preserve">• Depending on the type of transplant and the assessment of immune reconstitution by the transplant </w:t>
      </w:r>
      <w:proofErr w:type="gramStart"/>
      <w:r w:rsidRPr="00505F5A">
        <w:rPr>
          <w:rFonts w:ascii="Arial" w:hAnsi="Arial" w:cs="Arial"/>
          <w:sz w:val="22"/>
          <w:szCs w:val="22"/>
          <w:lang w:val="en-US"/>
        </w:rPr>
        <w:t>physician;</w:t>
      </w:r>
      <w:proofErr w:type="gramEnd"/>
    </w:p>
    <w:p w14:paraId="387E87DB" w14:textId="77777777" w:rsidR="00505F5A" w:rsidRPr="00505F5A" w:rsidRDefault="00505F5A" w:rsidP="00EC38D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505F5A">
        <w:rPr>
          <w:rFonts w:ascii="Arial" w:hAnsi="Arial" w:cs="Arial"/>
          <w:sz w:val="22"/>
          <w:szCs w:val="22"/>
          <w:lang w:val="en-US"/>
        </w:rPr>
        <w:t xml:space="preserve">• During immunosuppressive </w:t>
      </w:r>
      <w:proofErr w:type="gramStart"/>
      <w:r w:rsidRPr="00505F5A">
        <w:rPr>
          <w:rFonts w:ascii="Arial" w:hAnsi="Arial" w:cs="Arial"/>
          <w:sz w:val="22"/>
          <w:szCs w:val="22"/>
          <w:lang w:val="en-US"/>
        </w:rPr>
        <w:t>treatment;</w:t>
      </w:r>
      <w:proofErr w:type="gramEnd"/>
    </w:p>
    <w:p w14:paraId="692EB486" w14:textId="5A203FEB" w:rsidR="00505F5A" w:rsidRPr="00505F5A" w:rsidRDefault="00505F5A" w:rsidP="00EC38D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505F5A">
        <w:rPr>
          <w:rFonts w:ascii="Arial" w:hAnsi="Arial" w:cs="Arial"/>
          <w:sz w:val="22"/>
          <w:szCs w:val="22"/>
          <w:lang w:val="en-US"/>
        </w:rPr>
        <w:t>• Or in the presence of an active graft</w:t>
      </w:r>
      <w:r w:rsidR="006E7AFC">
        <w:rPr>
          <w:rFonts w:ascii="Arial" w:hAnsi="Arial" w:cs="Arial"/>
          <w:sz w:val="22"/>
          <w:szCs w:val="22"/>
          <w:lang w:val="en-US"/>
        </w:rPr>
        <w:t>-</w:t>
      </w:r>
      <w:r w:rsidRPr="00505F5A">
        <w:rPr>
          <w:rFonts w:ascii="Arial" w:hAnsi="Arial" w:cs="Arial"/>
          <w:sz w:val="22"/>
          <w:szCs w:val="22"/>
          <w:lang w:val="en-US"/>
        </w:rPr>
        <w:t>versus</w:t>
      </w:r>
      <w:r w:rsidR="006E7AFC">
        <w:rPr>
          <w:rFonts w:ascii="Arial" w:hAnsi="Arial" w:cs="Arial"/>
          <w:sz w:val="22"/>
          <w:szCs w:val="22"/>
          <w:lang w:val="en-US"/>
        </w:rPr>
        <w:t>-</w:t>
      </w:r>
      <w:r w:rsidRPr="00505F5A">
        <w:rPr>
          <w:rFonts w:ascii="Arial" w:hAnsi="Arial" w:cs="Arial"/>
          <w:sz w:val="22"/>
          <w:szCs w:val="22"/>
          <w:lang w:val="en-US"/>
        </w:rPr>
        <w:t>host</w:t>
      </w:r>
      <w:r w:rsidR="006E7AFC">
        <w:rPr>
          <w:rFonts w:ascii="Arial" w:hAnsi="Arial" w:cs="Arial"/>
          <w:sz w:val="22"/>
          <w:szCs w:val="22"/>
          <w:lang w:val="en-US"/>
        </w:rPr>
        <w:t>-</w:t>
      </w:r>
      <w:r w:rsidRPr="00505F5A">
        <w:rPr>
          <w:rFonts w:ascii="Arial" w:hAnsi="Arial" w:cs="Arial"/>
          <w:sz w:val="22"/>
          <w:szCs w:val="22"/>
          <w:lang w:val="en-US"/>
        </w:rPr>
        <w:t>disease (GVHD).</w:t>
      </w:r>
    </w:p>
    <w:p w14:paraId="3FD05BF6" w14:textId="77777777" w:rsidR="00505F5A" w:rsidRPr="00505F5A" w:rsidRDefault="00505F5A" w:rsidP="00EC38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505F5A">
        <w:rPr>
          <w:rFonts w:ascii="Arial" w:hAnsi="Arial" w:cs="Arial"/>
          <w:sz w:val="22"/>
          <w:szCs w:val="22"/>
          <w:lang w:val="en-US"/>
        </w:rPr>
        <w:t xml:space="preserve"> Person receiving high doses of corticosteroids, in the presence of </w:t>
      </w:r>
      <w:proofErr w:type="gramStart"/>
      <w:r w:rsidRPr="00505F5A">
        <w:rPr>
          <w:rFonts w:ascii="Arial" w:hAnsi="Arial" w:cs="Arial"/>
          <w:sz w:val="22"/>
          <w:szCs w:val="22"/>
          <w:lang w:val="en-US"/>
        </w:rPr>
        <w:t>all of</w:t>
      </w:r>
      <w:proofErr w:type="gramEnd"/>
      <w:r w:rsidRPr="00505F5A">
        <w:rPr>
          <w:rFonts w:ascii="Arial" w:hAnsi="Arial" w:cs="Arial"/>
          <w:sz w:val="22"/>
          <w:szCs w:val="22"/>
          <w:lang w:val="en-US"/>
        </w:rPr>
        <w:t xml:space="preserve"> the following conditions:</w:t>
      </w:r>
    </w:p>
    <w:p w14:paraId="3764B9B2" w14:textId="77777777" w:rsidR="00505F5A" w:rsidRPr="00505F5A" w:rsidRDefault="00505F5A" w:rsidP="00EC38D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505F5A">
        <w:rPr>
          <w:rFonts w:ascii="Arial" w:hAnsi="Arial" w:cs="Arial"/>
          <w:sz w:val="22"/>
          <w:szCs w:val="22"/>
          <w:lang w:val="en-US"/>
        </w:rPr>
        <w:t>• The treatment is administered systemically (oral or intravenously</w:t>
      </w:r>
      <w:proofErr w:type="gramStart"/>
      <w:r w:rsidRPr="00505F5A">
        <w:rPr>
          <w:rFonts w:ascii="Arial" w:hAnsi="Arial" w:cs="Arial"/>
          <w:sz w:val="22"/>
          <w:szCs w:val="22"/>
          <w:lang w:val="en-US"/>
        </w:rPr>
        <w:t>);</w:t>
      </w:r>
      <w:proofErr w:type="gramEnd"/>
    </w:p>
    <w:p w14:paraId="2E34A686" w14:textId="77777777" w:rsidR="00505F5A" w:rsidRPr="00505F5A" w:rsidRDefault="00505F5A" w:rsidP="00EC38D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505F5A">
        <w:rPr>
          <w:rFonts w:ascii="Arial" w:hAnsi="Arial" w:cs="Arial"/>
          <w:sz w:val="22"/>
          <w:szCs w:val="22"/>
          <w:lang w:val="en-US"/>
        </w:rPr>
        <w:t xml:space="preserve">• The treatment is administered for a period of two weeks or </w:t>
      </w:r>
      <w:proofErr w:type="gramStart"/>
      <w:r w:rsidRPr="00505F5A">
        <w:rPr>
          <w:rFonts w:ascii="Arial" w:hAnsi="Arial" w:cs="Arial"/>
          <w:sz w:val="22"/>
          <w:szCs w:val="22"/>
          <w:lang w:val="en-US"/>
        </w:rPr>
        <w:t>more;</w:t>
      </w:r>
      <w:proofErr w:type="gramEnd"/>
    </w:p>
    <w:p w14:paraId="58E530C6" w14:textId="595183A6" w:rsidR="00505F5A" w:rsidRPr="00505F5A" w:rsidRDefault="00505F5A" w:rsidP="00EC38D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505F5A">
        <w:rPr>
          <w:rFonts w:ascii="Arial" w:hAnsi="Arial" w:cs="Arial"/>
          <w:sz w:val="22"/>
          <w:szCs w:val="22"/>
          <w:lang w:val="en-US"/>
        </w:rPr>
        <w:t>• The daily dose is higher than 20 mg of prednisone (or its equivalent).</w:t>
      </w:r>
    </w:p>
    <w:p w14:paraId="6B8CF458" w14:textId="77777777" w:rsidR="00505F5A" w:rsidRPr="00505F5A" w:rsidRDefault="00505F5A" w:rsidP="00EC38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505F5A">
        <w:rPr>
          <w:rFonts w:ascii="Arial" w:hAnsi="Arial" w:cs="Arial"/>
          <w:sz w:val="22"/>
          <w:szCs w:val="22"/>
          <w:lang w:val="en-US"/>
        </w:rPr>
        <w:t xml:space="preserve"> Person receiving high-intensity immunosuppressive treatment determined by the prescribing physician. As a guide, other factors to consider </w:t>
      </w:r>
      <w:proofErr w:type="gramStart"/>
      <w:r w:rsidRPr="00505F5A">
        <w:rPr>
          <w:rFonts w:ascii="Arial" w:hAnsi="Arial" w:cs="Arial"/>
          <w:sz w:val="22"/>
          <w:szCs w:val="22"/>
          <w:lang w:val="en-US"/>
        </w:rPr>
        <w:t>are:</w:t>
      </w:r>
      <w:proofErr w:type="gramEnd"/>
      <w:r w:rsidRPr="00505F5A">
        <w:rPr>
          <w:rFonts w:ascii="Arial" w:hAnsi="Arial" w:cs="Arial"/>
          <w:sz w:val="22"/>
          <w:szCs w:val="22"/>
          <w:lang w:val="en-US"/>
        </w:rPr>
        <w:t xml:space="preserve"> the degree of morbidity conferred by the underlying disease; the presence of a significant comorbidity (e.g. diabetes, obesity) or daily concomitant treatment with prednisone (or its equivalent) at a dose of at least 5 mg.</w:t>
      </w:r>
    </w:p>
    <w:p w14:paraId="1986BAB3" w14:textId="77777777" w:rsidR="00505F5A" w:rsidRPr="00505F5A" w:rsidRDefault="00505F5A" w:rsidP="00EC38D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505F5A">
        <w:rPr>
          <w:rFonts w:ascii="Arial" w:hAnsi="Arial" w:cs="Arial"/>
          <w:sz w:val="22"/>
          <w:szCs w:val="22"/>
          <w:lang w:val="en-US"/>
        </w:rPr>
        <w:t>o Excluding people receiving anti-TNF, anti-IL6 or anti-IL17 when used as monotherapy, as they are not at higher risk of complications related to COVID-19.</w:t>
      </w:r>
    </w:p>
    <w:p w14:paraId="60B519B3" w14:textId="77777777" w:rsidR="00505F5A" w:rsidRPr="00505F5A" w:rsidRDefault="00505F5A" w:rsidP="00EC38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505F5A">
        <w:rPr>
          <w:rFonts w:ascii="Arial" w:hAnsi="Arial" w:cs="Arial"/>
          <w:sz w:val="22"/>
          <w:szCs w:val="22"/>
          <w:lang w:val="en-US"/>
        </w:rPr>
        <w:t> Person with primary immunodeficiency.</w:t>
      </w:r>
    </w:p>
    <w:p w14:paraId="52832D06" w14:textId="5DCF30C8" w:rsidR="00462A6A" w:rsidRDefault="00505F5A" w:rsidP="00EC38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505F5A">
        <w:rPr>
          <w:rFonts w:ascii="Arial" w:hAnsi="Arial" w:cs="Arial"/>
          <w:sz w:val="22"/>
          <w:szCs w:val="22"/>
          <w:lang w:val="en-US"/>
        </w:rPr>
        <w:t> People living with HIV whose CD4 cell count is less than 200/mm</w:t>
      </w:r>
      <w:r w:rsidRPr="006E7AFC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r w:rsidRPr="00505F5A">
        <w:rPr>
          <w:rFonts w:ascii="Arial" w:hAnsi="Arial" w:cs="Arial"/>
          <w:sz w:val="22"/>
          <w:szCs w:val="22"/>
          <w:lang w:val="en-US"/>
        </w:rPr>
        <w:t>, or who have uncontrolled HIV or clinical manifestations of symptomatic AIDS.</w:t>
      </w:r>
    </w:p>
    <w:p w14:paraId="4FE05896" w14:textId="77777777" w:rsidR="005E6018" w:rsidRPr="00C11742" w:rsidRDefault="005E6018" w:rsidP="00505F5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93A29A1" w14:textId="77777777" w:rsidR="005E6018" w:rsidRPr="005E6018" w:rsidRDefault="005E6018" w:rsidP="005E60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B) GROUPS AT HIGH RISK OF COMPLICATIONS FROM COVID-19 (chronic diseases)</w:t>
      </w:r>
    </w:p>
    <w:p w14:paraId="075BC5EE" w14:textId="77777777" w:rsidR="005E6018" w:rsidRPr="005E6018" w:rsidRDefault="005E6018" w:rsidP="005E60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6C4F707" w14:textId="77777777" w:rsidR="005E6018" w:rsidRPr="005E6018" w:rsidRDefault="005E6018" w:rsidP="005E60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1) People with a chronic disease in Box 1 and who meets a severity criterion in Box 2.</w:t>
      </w:r>
    </w:p>
    <w:p w14:paraId="2D45B0E5" w14:textId="77777777" w:rsidR="005E6018" w:rsidRPr="005E6018" w:rsidRDefault="005E6018" w:rsidP="005E60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2) People with at least three chronic diseases from Box 1.</w:t>
      </w:r>
    </w:p>
    <w:p w14:paraId="65A00380" w14:textId="77777777" w:rsidR="005E6018" w:rsidRPr="005E6018" w:rsidRDefault="005E6018" w:rsidP="005E60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3) People aged 60 to 69 with at least two chronic diseases from Box 1.</w:t>
      </w:r>
    </w:p>
    <w:p w14:paraId="46B33C30" w14:textId="77777777" w:rsidR="005E6018" w:rsidRPr="005E6018" w:rsidRDefault="005E6018" w:rsidP="005E60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4) People aged 70 and over, with or without chronic illnesses.</w:t>
      </w:r>
    </w:p>
    <w:p w14:paraId="0D631294" w14:textId="6518CC7C" w:rsidR="00462A6A" w:rsidRDefault="005E6018" w:rsidP="005E60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5) Persons with sickle cell disease (includes all genotypes: SS, SC, S-beta-</w:t>
      </w:r>
      <w:proofErr w:type="gramStart"/>
      <w:r w:rsidRPr="005E6018">
        <w:rPr>
          <w:rFonts w:ascii="Arial" w:hAnsi="Arial" w:cs="Arial"/>
          <w:sz w:val="22"/>
          <w:szCs w:val="22"/>
          <w:lang w:val="en-US"/>
        </w:rPr>
        <w:t>thalassemia</w:t>
      </w:r>
      <w:proofErr w:type="gramEnd"/>
      <w:r w:rsidRPr="005E6018">
        <w:rPr>
          <w:rFonts w:ascii="Arial" w:hAnsi="Arial" w:cs="Arial"/>
          <w:sz w:val="22"/>
          <w:szCs w:val="22"/>
          <w:lang w:val="en-US"/>
        </w:rPr>
        <w:t xml:space="preserve"> and other variants).</w:t>
      </w:r>
    </w:p>
    <w:p w14:paraId="3A2F5034" w14:textId="28C249F7" w:rsidR="00462A6A" w:rsidRDefault="00462A6A" w:rsidP="00462A6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392285E" w14:textId="56C305CC" w:rsidR="005E6018" w:rsidRDefault="005E6018" w:rsidP="005E6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Box 1. Chronic diseases identified as a risk factor for complications of COVID-191</w:t>
      </w:r>
    </w:p>
    <w:p w14:paraId="39235752" w14:textId="15A19AD2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 Cardiovascular disease excluding controlled hypertension.</w:t>
      </w:r>
    </w:p>
    <w:p w14:paraId="1BD9AEF8" w14:textId="73BD1FDC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 Chronic respiratory diseases excluding controlled asthma.</w:t>
      </w:r>
    </w:p>
    <w:p w14:paraId="091A3331" w14:textId="77777777" w:rsidR="005E6018" w:rsidRPr="005E6018" w:rsidRDefault="005E6018" w:rsidP="005E6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 Chronic kidney disease.</w:t>
      </w:r>
    </w:p>
    <w:p w14:paraId="4D2AA323" w14:textId="77777777" w:rsidR="005E6018" w:rsidRPr="005E6018" w:rsidRDefault="005E6018" w:rsidP="005E6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lastRenderedPageBreak/>
        <w:t> Chronic liver diseases.</w:t>
      </w:r>
    </w:p>
    <w:p w14:paraId="77C1425D" w14:textId="77777777" w:rsidR="005E6018" w:rsidRPr="005E6018" w:rsidRDefault="005E6018" w:rsidP="005E6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 Type 1 or 2 diabetes.</w:t>
      </w:r>
    </w:p>
    <w:p w14:paraId="4C1BE305" w14:textId="77777777" w:rsidR="005E6018" w:rsidRPr="005E6018" w:rsidRDefault="005E6018" w:rsidP="005E6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 Obesity from a BMI of 30 kg/m</w:t>
      </w:r>
      <w:r w:rsidRPr="006E7AFC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5E6018">
        <w:rPr>
          <w:rFonts w:ascii="Arial" w:hAnsi="Arial" w:cs="Arial"/>
          <w:sz w:val="22"/>
          <w:szCs w:val="22"/>
          <w:lang w:val="en-US"/>
        </w:rPr>
        <w:t>.</w:t>
      </w:r>
    </w:p>
    <w:p w14:paraId="64E10CC2" w14:textId="77777777" w:rsidR="005E6018" w:rsidRPr="005E6018" w:rsidRDefault="005E6018" w:rsidP="005E6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 Medical condition leading to a decrease in the evacuation of respiratory secretions or the risk of aspiration (e.g.: a cognitive disorder, a spinal cord injury, a convulsive disorder, neuromuscular disorders).</w:t>
      </w:r>
    </w:p>
    <w:p w14:paraId="409C5E99" w14:textId="33B4B72F" w:rsidR="005E6018" w:rsidRPr="005E6018" w:rsidRDefault="005E6018" w:rsidP="005E6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 xml:space="preserve"> Any medical condition or chronic disease diagnosed and associated with a risk of </w:t>
      </w:r>
      <w:r>
        <w:rPr>
          <w:rFonts w:ascii="Arial" w:hAnsi="Arial" w:cs="Arial"/>
          <w:sz w:val="22"/>
          <w:szCs w:val="22"/>
          <w:lang w:val="en-US"/>
        </w:rPr>
        <w:t>c</w:t>
      </w:r>
      <w:r w:rsidRPr="005E6018">
        <w:rPr>
          <w:rFonts w:ascii="Arial" w:hAnsi="Arial" w:cs="Arial"/>
          <w:sz w:val="22"/>
          <w:szCs w:val="22"/>
          <w:lang w:val="en-US"/>
        </w:rPr>
        <w:t>omplications from COVID-19 according to the advice of the attending physician.</w:t>
      </w:r>
    </w:p>
    <w:p w14:paraId="21ABCB3C" w14:textId="77777777" w:rsidR="005E6018" w:rsidRDefault="005E6018" w:rsidP="00462A6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4D4B588" w14:textId="77777777" w:rsidR="005E6018" w:rsidRDefault="005E6018" w:rsidP="00462A6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5C00E7D" w14:textId="56A075D1" w:rsidR="005E6018" w:rsidRDefault="005E6018" w:rsidP="00462A6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C) GROUPS AT HIGH RISK OF COMPLICATIONS FROM COVID-19 (Pregnant women)</w:t>
      </w:r>
    </w:p>
    <w:p w14:paraId="7C316EC0" w14:textId="0F72C758" w:rsidR="005E6018" w:rsidRDefault="005E6018" w:rsidP="00462A6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85EABF8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Box 2. Severity criteria</w:t>
      </w:r>
    </w:p>
    <w:p w14:paraId="02F81586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25E73A6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EC38DD">
        <w:rPr>
          <w:rFonts w:ascii="Arial" w:hAnsi="Arial" w:cs="Arial"/>
          <w:sz w:val="22"/>
          <w:szCs w:val="22"/>
          <w:shd w:val="clear" w:color="auto" w:fill="DEEAF6" w:themeFill="accent5" w:themeFillTint="33"/>
          <w:lang w:val="en-US"/>
        </w:rPr>
        <w:t>Cardiovascular illnesses</w:t>
      </w:r>
    </w:p>
    <w:p w14:paraId="7C876319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0F1A4F8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 Class II to IV angina according to the Canadian Cardiovascular Society classification.</w:t>
      </w:r>
    </w:p>
    <w:p w14:paraId="0152B037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 xml:space="preserve"> Recent myocardial infarction, </w:t>
      </w:r>
      <w:proofErr w:type="gramStart"/>
      <w:r w:rsidRPr="005E6018">
        <w:rPr>
          <w:rFonts w:ascii="Arial" w:hAnsi="Arial" w:cs="Arial"/>
          <w:sz w:val="22"/>
          <w:szCs w:val="22"/>
          <w:lang w:val="en-US"/>
        </w:rPr>
        <w:t>i.e.</w:t>
      </w:r>
      <w:proofErr w:type="gramEnd"/>
      <w:r w:rsidRPr="005E6018">
        <w:rPr>
          <w:rFonts w:ascii="Arial" w:hAnsi="Arial" w:cs="Arial"/>
          <w:sz w:val="22"/>
          <w:szCs w:val="22"/>
          <w:lang w:val="en-US"/>
        </w:rPr>
        <w:t xml:space="preserve"> within the last three months.</w:t>
      </w:r>
    </w:p>
    <w:p w14:paraId="5C3ED3AB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 New York Heart Association stage 3 or 4 heart failure.</w:t>
      </w:r>
    </w:p>
    <w:p w14:paraId="714B2EF8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 Cyanogenic or congenital cardiomyopathy.</w:t>
      </w:r>
    </w:p>
    <w:p w14:paraId="6C55E251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 xml:space="preserve"> Hospitalization for recent heart failure, </w:t>
      </w:r>
      <w:proofErr w:type="gramStart"/>
      <w:r w:rsidRPr="005E6018">
        <w:rPr>
          <w:rFonts w:ascii="Arial" w:hAnsi="Arial" w:cs="Arial"/>
          <w:sz w:val="22"/>
          <w:szCs w:val="22"/>
          <w:lang w:val="en-US"/>
        </w:rPr>
        <w:t>i.e.</w:t>
      </w:r>
      <w:proofErr w:type="gramEnd"/>
      <w:r w:rsidRPr="005E6018">
        <w:rPr>
          <w:rFonts w:ascii="Arial" w:hAnsi="Arial" w:cs="Arial"/>
          <w:sz w:val="22"/>
          <w:szCs w:val="22"/>
          <w:lang w:val="en-US"/>
        </w:rPr>
        <w:t xml:space="preserve"> within the last three months.</w:t>
      </w:r>
    </w:p>
    <w:p w14:paraId="35D831F1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 xml:space="preserve"> A recent angioplasty or cardiac or vascular surgery, </w:t>
      </w:r>
      <w:proofErr w:type="gramStart"/>
      <w:r w:rsidRPr="005E6018">
        <w:rPr>
          <w:rFonts w:ascii="Arial" w:hAnsi="Arial" w:cs="Arial"/>
          <w:sz w:val="22"/>
          <w:szCs w:val="22"/>
          <w:lang w:val="en-US"/>
        </w:rPr>
        <w:t>i.e.</w:t>
      </w:r>
      <w:proofErr w:type="gramEnd"/>
      <w:r w:rsidRPr="005E6018">
        <w:rPr>
          <w:rFonts w:ascii="Arial" w:hAnsi="Arial" w:cs="Arial"/>
          <w:sz w:val="22"/>
          <w:szCs w:val="22"/>
          <w:lang w:val="en-US"/>
        </w:rPr>
        <w:t xml:space="preserve"> within the last three months.</w:t>
      </w:r>
    </w:p>
    <w:p w14:paraId="4200AF69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 Uncontrolled cardiac arrhythmia (rapid atrial fibrillation, flutter, high grade blocks).</w:t>
      </w:r>
    </w:p>
    <w:p w14:paraId="2F562636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704C202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EC38DD">
        <w:rPr>
          <w:rFonts w:ascii="Arial" w:hAnsi="Arial" w:cs="Arial"/>
          <w:sz w:val="22"/>
          <w:szCs w:val="22"/>
          <w:shd w:val="clear" w:color="auto" w:fill="DEEAF6" w:themeFill="accent5" w:themeFillTint="33"/>
          <w:lang w:val="en-US"/>
        </w:rPr>
        <w:t>Chronic respiratory diseases</w:t>
      </w:r>
    </w:p>
    <w:p w14:paraId="2C9378C8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08D5105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 Severe asthma according to the criteria of the Canadian Thoracic Society.</w:t>
      </w:r>
    </w:p>
    <w:p w14:paraId="56B94AC3" w14:textId="3DBB7DA3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 Chronic respiratory disease associated with grade 3 or 4 dyspnea according to the modified dyspnea scale of the</w:t>
      </w:r>
      <w:r w:rsidR="006E7AFC">
        <w:rPr>
          <w:rFonts w:ascii="Arial" w:hAnsi="Arial" w:cs="Arial"/>
          <w:sz w:val="22"/>
          <w:szCs w:val="22"/>
          <w:lang w:val="en-US"/>
        </w:rPr>
        <w:t xml:space="preserve"> </w:t>
      </w:r>
      <w:r w:rsidRPr="005E6018">
        <w:rPr>
          <w:rFonts w:ascii="Arial" w:hAnsi="Arial" w:cs="Arial"/>
          <w:sz w:val="22"/>
          <w:szCs w:val="22"/>
          <w:lang w:val="en-US"/>
        </w:rPr>
        <w:t>UK Medical Research Council.</w:t>
      </w:r>
    </w:p>
    <w:p w14:paraId="1D760324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 Unstable chronic respiratory disease (increased dyspnea, decreased exercise tolerance, repeated exacerbation).</w:t>
      </w:r>
    </w:p>
    <w:p w14:paraId="53634FEC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 Respiratory function tests showing a severe obstructive or restrictive syndrome (</w:t>
      </w:r>
      <w:proofErr w:type="spellStart"/>
      <w:r w:rsidRPr="005E6018">
        <w:rPr>
          <w:rFonts w:ascii="Arial" w:hAnsi="Arial" w:cs="Arial"/>
          <w:sz w:val="22"/>
          <w:szCs w:val="22"/>
          <w:lang w:val="en-US"/>
        </w:rPr>
        <w:t>FEV</w:t>
      </w:r>
      <w:proofErr w:type="spellEnd"/>
      <w:r w:rsidRPr="005E6018">
        <w:rPr>
          <w:rFonts w:ascii="Arial" w:hAnsi="Arial" w:cs="Arial"/>
          <w:sz w:val="22"/>
          <w:szCs w:val="22"/>
          <w:lang w:val="en-US"/>
        </w:rPr>
        <w:t xml:space="preserve"> less than 50%).</w:t>
      </w:r>
    </w:p>
    <w:p w14:paraId="23FDF464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 Hospitalization or taking oral corticosteroids in the past three months for respiratory disease</w:t>
      </w:r>
    </w:p>
    <w:p w14:paraId="60956A21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exacerbated chronicle.</w:t>
      </w:r>
    </w:p>
    <w:p w14:paraId="5F1570F8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 Ambulatory oxygen therapy.</w:t>
      </w:r>
    </w:p>
    <w:p w14:paraId="549BB308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4302B0C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EC38DD">
        <w:rPr>
          <w:rFonts w:ascii="Arial" w:hAnsi="Arial" w:cs="Arial"/>
          <w:sz w:val="22"/>
          <w:szCs w:val="22"/>
          <w:shd w:val="clear" w:color="auto" w:fill="DEEAF6" w:themeFill="accent5" w:themeFillTint="33"/>
          <w:lang w:val="en-US"/>
        </w:rPr>
        <w:t>Chronic kidney diseases</w:t>
      </w:r>
    </w:p>
    <w:p w14:paraId="76F04FD6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C33B4E8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 Glomerular Filtration Rate (</w:t>
      </w:r>
      <w:proofErr w:type="spellStart"/>
      <w:r w:rsidRPr="005E6018">
        <w:rPr>
          <w:rFonts w:ascii="Arial" w:hAnsi="Arial" w:cs="Arial"/>
          <w:sz w:val="22"/>
          <w:szCs w:val="22"/>
          <w:lang w:val="en-US"/>
        </w:rPr>
        <w:t>GFR</w:t>
      </w:r>
      <w:proofErr w:type="spellEnd"/>
      <w:r w:rsidRPr="005E6018">
        <w:rPr>
          <w:rFonts w:ascii="Arial" w:hAnsi="Arial" w:cs="Arial"/>
          <w:sz w:val="22"/>
          <w:szCs w:val="22"/>
          <w:lang w:val="en-US"/>
        </w:rPr>
        <w:t>) less than 45.</w:t>
      </w:r>
    </w:p>
    <w:p w14:paraId="66B02556" w14:textId="435230F9" w:rsid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 Dialysis.</w:t>
      </w:r>
    </w:p>
    <w:p w14:paraId="432D9DF8" w14:textId="77777777" w:rsidR="00EC38DD" w:rsidRPr="005E6018" w:rsidRDefault="00EC38DD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E95343B" w14:textId="7AC1F1BA" w:rsid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DEEAF6" w:themeFill="accent5" w:themeFillTint="33"/>
          <w:lang w:val="en-US"/>
        </w:rPr>
      </w:pPr>
      <w:r w:rsidRPr="00EC38DD">
        <w:rPr>
          <w:rFonts w:ascii="Arial" w:hAnsi="Arial" w:cs="Arial"/>
          <w:sz w:val="22"/>
          <w:szCs w:val="22"/>
          <w:shd w:val="clear" w:color="auto" w:fill="DEEAF6" w:themeFill="accent5" w:themeFillTint="33"/>
          <w:lang w:val="en-US"/>
        </w:rPr>
        <w:t>Chronic liver diseases</w:t>
      </w:r>
    </w:p>
    <w:p w14:paraId="7D63553E" w14:textId="77777777" w:rsidR="00EC38DD" w:rsidRPr="005E6018" w:rsidRDefault="00EC38DD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D0162B3" w14:textId="0B3A77C2" w:rsid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 Stage 3 or 4 hepatic cirrhosis according to the Child-Pugh score.</w:t>
      </w:r>
    </w:p>
    <w:p w14:paraId="5D10FAA8" w14:textId="77777777" w:rsidR="006E7AFC" w:rsidRPr="005E6018" w:rsidRDefault="006E7AFC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9342766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6E7AFC">
        <w:rPr>
          <w:rFonts w:ascii="Arial" w:hAnsi="Arial" w:cs="Arial"/>
          <w:sz w:val="22"/>
          <w:szCs w:val="22"/>
          <w:shd w:val="clear" w:color="auto" w:fill="DEEAF6" w:themeFill="accent5" w:themeFillTint="33"/>
          <w:lang w:val="en-US"/>
        </w:rPr>
        <w:t>Diabetes</w:t>
      </w:r>
    </w:p>
    <w:p w14:paraId="724E5D19" w14:textId="6DA6E141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lastRenderedPageBreak/>
        <w:t> Microvascular or macrovascular complications of type I or II diabetes (</w:t>
      </w:r>
      <w:proofErr w:type="spellStart"/>
      <w:r w:rsidRPr="005E6018">
        <w:rPr>
          <w:rFonts w:ascii="Arial" w:hAnsi="Arial" w:cs="Arial"/>
          <w:sz w:val="22"/>
          <w:szCs w:val="22"/>
          <w:lang w:val="en-US"/>
        </w:rPr>
        <w:t>eg</w:t>
      </w:r>
      <w:proofErr w:type="spellEnd"/>
      <w:r w:rsidRPr="005E6018">
        <w:rPr>
          <w:rFonts w:ascii="Arial" w:hAnsi="Arial" w:cs="Arial"/>
          <w:sz w:val="22"/>
          <w:szCs w:val="22"/>
          <w:lang w:val="en-US"/>
        </w:rPr>
        <w:t>, neuropathy, nephropathy,</w:t>
      </w:r>
      <w:r w:rsidR="00EC38DD">
        <w:rPr>
          <w:rFonts w:ascii="Arial" w:hAnsi="Arial" w:cs="Arial"/>
          <w:sz w:val="22"/>
          <w:szCs w:val="22"/>
          <w:lang w:val="en-US"/>
        </w:rPr>
        <w:t xml:space="preserve"> </w:t>
      </w:r>
      <w:r w:rsidRPr="005E6018">
        <w:rPr>
          <w:rFonts w:ascii="Arial" w:hAnsi="Arial" w:cs="Arial"/>
          <w:sz w:val="22"/>
          <w:szCs w:val="22"/>
          <w:lang w:val="en-US"/>
        </w:rPr>
        <w:t>retinopathy, etc.).</w:t>
      </w:r>
    </w:p>
    <w:p w14:paraId="435678C6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76424F6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EC38DD">
        <w:rPr>
          <w:rFonts w:ascii="Arial" w:hAnsi="Arial" w:cs="Arial"/>
          <w:sz w:val="22"/>
          <w:szCs w:val="22"/>
          <w:shd w:val="clear" w:color="auto" w:fill="DEEAF6" w:themeFill="accent5" w:themeFillTint="33"/>
          <w:lang w:val="en-US"/>
        </w:rPr>
        <w:t>Obesity</w:t>
      </w:r>
    </w:p>
    <w:p w14:paraId="07EAD3D4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6CD130D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 BMI of 40 kg/m2 or more.</w:t>
      </w:r>
    </w:p>
    <w:p w14:paraId="1460CBEB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07BA2F4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EC38DD">
        <w:rPr>
          <w:rFonts w:ascii="Arial" w:hAnsi="Arial" w:cs="Arial"/>
          <w:sz w:val="22"/>
          <w:szCs w:val="22"/>
          <w:shd w:val="clear" w:color="auto" w:fill="DEEAF6" w:themeFill="accent5" w:themeFillTint="33"/>
          <w:lang w:val="en-US"/>
        </w:rPr>
        <w:t>Criteria applicable to all chronic diseases</w:t>
      </w:r>
    </w:p>
    <w:p w14:paraId="02274768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7EB0F50" w14:textId="77777777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 Recent complication(s) of a chronic disease listed in Box 1 requiring hospitalization or close medical follow-up within the last three months.</w:t>
      </w:r>
    </w:p>
    <w:p w14:paraId="41563DBB" w14:textId="4FB74230" w:rsidR="005E6018" w:rsidRPr="005E6018" w:rsidRDefault="005E6018" w:rsidP="00EC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E6018">
        <w:rPr>
          <w:rFonts w:ascii="Arial" w:hAnsi="Arial" w:cs="Arial"/>
          <w:sz w:val="22"/>
          <w:szCs w:val="22"/>
          <w:lang w:val="en-US"/>
        </w:rPr>
        <w:t> Opinion of the attending physician of a high risk of complications from COVID-19 related to a chronic disease in Box 1 following a medical assessment.</w:t>
      </w:r>
    </w:p>
    <w:p w14:paraId="4424AF43" w14:textId="63933E05" w:rsidR="00462A6A" w:rsidRDefault="00462A6A" w:rsidP="00462A6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2BF2C2C" w14:textId="0E8A8386" w:rsidR="00EC38DD" w:rsidRPr="005E6018" w:rsidRDefault="00EC38DD" w:rsidP="00462A6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EC38DD">
        <w:rPr>
          <w:rFonts w:ascii="Arial" w:hAnsi="Arial" w:cs="Arial"/>
          <w:sz w:val="22"/>
          <w:szCs w:val="22"/>
          <w:lang w:val="en-US"/>
        </w:rPr>
        <w:t>C) GROUPS AT HIGH RISK OF COMPLICATIONS FROM COVID-19 (Pregnant women)</w:t>
      </w:r>
    </w:p>
    <w:p w14:paraId="43561EBE" w14:textId="77777777" w:rsidR="005E6018" w:rsidRPr="00474905" w:rsidRDefault="005E6018" w:rsidP="005E6018">
      <w:pPr>
        <w:shd w:val="clear" w:color="auto" w:fill="FFFFFF"/>
        <w:spacing w:before="192" w:after="192"/>
        <w:jc w:val="both"/>
        <w:rPr>
          <w:rFonts w:ascii="Arial" w:eastAsia="Times New Roman" w:hAnsi="Arial" w:cs="Arial"/>
          <w:b/>
          <w:bCs/>
          <w:color w:val="303030"/>
          <w:sz w:val="22"/>
          <w:szCs w:val="22"/>
          <w:lang w:eastAsia="fr-CA"/>
        </w:rPr>
      </w:pPr>
      <w:r w:rsidRPr="00474905">
        <w:rPr>
          <w:rFonts w:ascii="Arial" w:eastAsia="Times New Roman" w:hAnsi="Arial" w:cs="Arial"/>
          <w:b/>
          <w:bCs/>
          <w:color w:val="303030"/>
          <w:sz w:val="22"/>
          <w:szCs w:val="22"/>
          <w:lang w:eastAsia="fr-CA"/>
        </w:rPr>
        <w:t>Références</w:t>
      </w:r>
    </w:p>
    <w:p w14:paraId="59E635F0" w14:textId="77777777" w:rsidR="005E6018" w:rsidRPr="00474905" w:rsidRDefault="005E6018" w:rsidP="005E60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FB02D00" w14:textId="77777777" w:rsidR="005E6018" w:rsidRPr="00474905" w:rsidRDefault="00420A71" w:rsidP="005E60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5E6018" w:rsidRPr="00246288">
          <w:rPr>
            <w:rStyle w:val="Lienhypertexte"/>
            <w:rFonts w:ascii="Arial" w:hAnsi="Arial" w:cs="Arial"/>
            <w:sz w:val="22"/>
            <w:szCs w:val="22"/>
          </w:rPr>
          <w:t>COVID-19 : Recommandations intérimaires pour la protection des travailleurs immunosupprimés</w:t>
        </w:r>
      </w:hyperlink>
      <w:r w:rsidR="005E6018" w:rsidRPr="0047490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E6018" w:rsidRPr="00474905">
        <w:rPr>
          <w:rFonts w:ascii="Arial" w:hAnsi="Arial" w:cs="Arial"/>
          <w:sz w:val="22"/>
          <w:szCs w:val="22"/>
        </w:rPr>
        <w:t>INSPQ</w:t>
      </w:r>
      <w:proofErr w:type="spellEnd"/>
      <w:r w:rsidR="005E6018" w:rsidRPr="00474905">
        <w:rPr>
          <w:rFonts w:ascii="Arial" w:hAnsi="Arial" w:cs="Arial"/>
          <w:sz w:val="22"/>
          <w:szCs w:val="22"/>
        </w:rPr>
        <w:t xml:space="preserve">, </w:t>
      </w:r>
      <w:r w:rsidR="005E6018">
        <w:rPr>
          <w:rFonts w:ascii="Arial" w:hAnsi="Arial" w:cs="Arial"/>
          <w:sz w:val="22"/>
          <w:szCs w:val="22"/>
        </w:rPr>
        <w:t>6 janvier 2022</w:t>
      </w:r>
      <w:r w:rsidR="005E6018" w:rsidRPr="00474905">
        <w:rPr>
          <w:rFonts w:ascii="Arial" w:hAnsi="Arial" w:cs="Arial"/>
          <w:sz w:val="22"/>
          <w:szCs w:val="22"/>
        </w:rPr>
        <w:t>)</w:t>
      </w:r>
    </w:p>
    <w:p w14:paraId="54BB39A8" w14:textId="77777777" w:rsidR="005E6018" w:rsidRPr="00474905" w:rsidRDefault="005E6018" w:rsidP="005E60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D9FC829" w14:textId="77777777" w:rsidR="005E6018" w:rsidRDefault="00420A71" w:rsidP="005E60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5E6018" w:rsidRPr="00440B64">
          <w:rPr>
            <w:rStyle w:val="Lienhypertexte"/>
            <w:rFonts w:ascii="Arial" w:hAnsi="Arial" w:cs="Arial"/>
            <w:sz w:val="22"/>
            <w:szCs w:val="22"/>
          </w:rPr>
          <w:t>COVID-19 (SARS-CoV-2) : Recommandations intérimaires pour la protection des travailleurs avec maladies chroniques</w:t>
        </w:r>
      </w:hyperlink>
      <w:r w:rsidR="005E6018" w:rsidRPr="0047490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E6018" w:rsidRPr="00474905">
        <w:rPr>
          <w:rFonts w:ascii="Arial" w:hAnsi="Arial" w:cs="Arial"/>
          <w:sz w:val="22"/>
          <w:szCs w:val="22"/>
        </w:rPr>
        <w:t>INSPQ</w:t>
      </w:r>
      <w:proofErr w:type="spellEnd"/>
      <w:r w:rsidR="005E6018" w:rsidRPr="00474905">
        <w:rPr>
          <w:rFonts w:ascii="Arial" w:hAnsi="Arial" w:cs="Arial"/>
          <w:sz w:val="22"/>
          <w:szCs w:val="22"/>
        </w:rPr>
        <w:t xml:space="preserve">, </w:t>
      </w:r>
      <w:r w:rsidR="005E6018">
        <w:rPr>
          <w:rFonts w:ascii="Arial" w:hAnsi="Arial" w:cs="Arial"/>
          <w:sz w:val="22"/>
          <w:szCs w:val="22"/>
        </w:rPr>
        <w:t>23 décembre 2021</w:t>
      </w:r>
      <w:r w:rsidR="005E6018" w:rsidRPr="00474905">
        <w:rPr>
          <w:rFonts w:ascii="Arial" w:hAnsi="Arial" w:cs="Arial"/>
          <w:sz w:val="22"/>
          <w:szCs w:val="22"/>
        </w:rPr>
        <w:t>)</w:t>
      </w:r>
    </w:p>
    <w:p w14:paraId="65CE9679" w14:textId="77777777" w:rsidR="005E6018" w:rsidRDefault="005E6018" w:rsidP="005E60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6F8808" w14:textId="55627AA7" w:rsidR="005E6018" w:rsidRDefault="00420A71" w:rsidP="005E60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12" w:history="1">
        <w:r w:rsidR="005E6018" w:rsidRPr="005E6018">
          <w:rPr>
            <w:rStyle w:val="Lienhypertexte"/>
            <w:rFonts w:ascii="Arial" w:hAnsi="Arial" w:cs="Arial"/>
            <w:sz w:val="22"/>
            <w:szCs w:val="22"/>
          </w:rPr>
          <w:t>Travailleuses enceintes ou qui allaitent : mesures de prévention de la COVID-19</w:t>
        </w:r>
      </w:hyperlink>
      <w:r w:rsidR="005E601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E6018">
        <w:rPr>
          <w:rFonts w:ascii="Arial" w:hAnsi="Arial" w:cs="Arial"/>
          <w:sz w:val="22"/>
          <w:szCs w:val="22"/>
        </w:rPr>
        <w:t>INSPQ</w:t>
      </w:r>
      <w:proofErr w:type="spellEnd"/>
      <w:r w:rsidR="005E6018">
        <w:rPr>
          <w:rFonts w:ascii="Arial" w:hAnsi="Arial" w:cs="Arial"/>
          <w:sz w:val="22"/>
          <w:szCs w:val="22"/>
        </w:rPr>
        <w:t xml:space="preserve"> 23 décembre 2021)</w:t>
      </w:r>
    </w:p>
    <w:p w14:paraId="6EC28035" w14:textId="77777777" w:rsidR="005E6018" w:rsidRPr="00246288" w:rsidRDefault="005E6018" w:rsidP="005E6018">
      <w:pPr>
        <w:autoSpaceDE w:val="0"/>
        <w:autoSpaceDN w:val="0"/>
        <w:adjustRightInd w:val="0"/>
        <w:jc w:val="both"/>
        <w:rPr>
          <w:rStyle w:val="Lienhypertext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"https://www.inspq.qc.ca/publications/2912-mesures-travailleuses-enceintes-allaitent-transmission-communautaire-covid19" </w:instrText>
      </w:r>
      <w:r>
        <w:rPr>
          <w:rFonts w:ascii="Arial" w:hAnsi="Arial" w:cs="Arial"/>
          <w:sz w:val="22"/>
          <w:szCs w:val="22"/>
        </w:rPr>
        <w:fldChar w:fldCharType="separate"/>
      </w:r>
    </w:p>
    <w:p w14:paraId="36BD6146" w14:textId="77777777" w:rsidR="005E6018" w:rsidRPr="00474905" w:rsidRDefault="005E6018" w:rsidP="005E60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46288">
        <w:rPr>
          <w:rStyle w:val="Lienhypertexte"/>
          <w:rFonts w:ascii="Arial" w:hAnsi="Arial" w:cs="Arial"/>
          <w:sz w:val="22"/>
          <w:szCs w:val="22"/>
        </w:rPr>
        <w:t>COVID-19 : Mesures de prévention en milieux de travail pour les travailleuses enceintes ou qui allaitent en contexte de transmission communautaire</w:t>
      </w:r>
      <w:r>
        <w:rPr>
          <w:rFonts w:ascii="Arial" w:hAnsi="Arial" w:cs="Arial"/>
          <w:sz w:val="22"/>
          <w:szCs w:val="22"/>
        </w:rPr>
        <w:fldChar w:fldCharType="end"/>
      </w:r>
      <w:r w:rsidRPr="0047490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74905">
        <w:rPr>
          <w:rFonts w:ascii="Arial" w:hAnsi="Arial" w:cs="Arial"/>
          <w:sz w:val="22"/>
          <w:szCs w:val="22"/>
        </w:rPr>
        <w:t>INSPQ</w:t>
      </w:r>
      <w:proofErr w:type="spellEnd"/>
      <w:r w:rsidRPr="00474905">
        <w:rPr>
          <w:rFonts w:ascii="Arial" w:hAnsi="Arial" w:cs="Arial"/>
          <w:sz w:val="22"/>
          <w:szCs w:val="22"/>
        </w:rPr>
        <w:t>, 27 mars 2020)</w:t>
      </w:r>
    </w:p>
    <w:p w14:paraId="64C33D1F" w14:textId="77777777" w:rsidR="00462A6A" w:rsidRPr="00C11742" w:rsidRDefault="00462A6A" w:rsidP="00462A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0CB690" w14:textId="77777777" w:rsidR="005F63AE" w:rsidRPr="00462A6A" w:rsidRDefault="00462A6A" w:rsidP="00462A6A">
      <w:pPr>
        <w:rPr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>To apply</w:t>
      </w:r>
      <w:r w:rsidRPr="00174F06">
        <w:rPr>
          <w:rFonts w:ascii="Arial" w:hAnsi="Arial" w:cs="Arial"/>
          <w:i/>
          <w:iCs/>
          <w:sz w:val="22"/>
          <w:szCs w:val="22"/>
          <w:lang w:val="en-US"/>
        </w:rPr>
        <w:t xml:space="preserve"> these 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recommendations, UdeM replaces the term “worker”, used in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INSPQ’s</w:t>
      </w:r>
      <w:proofErr w:type="spell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documents, with the word “individual”.</w:t>
      </w:r>
    </w:p>
    <w:sectPr w:rsidR="005F63AE" w:rsidRPr="00462A6A" w:rsidSect="00091F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1C8"/>
    <w:multiLevelType w:val="hybridMultilevel"/>
    <w:tmpl w:val="A2CE2324"/>
    <w:lvl w:ilvl="0" w:tplc="FC48FDA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6854"/>
    <w:multiLevelType w:val="hybridMultilevel"/>
    <w:tmpl w:val="63029E2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B1D72"/>
    <w:multiLevelType w:val="hybridMultilevel"/>
    <w:tmpl w:val="8E06FA4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209A1"/>
    <w:multiLevelType w:val="hybridMultilevel"/>
    <w:tmpl w:val="2368C59C"/>
    <w:lvl w:ilvl="0" w:tplc="FC48FDA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D12A8"/>
    <w:multiLevelType w:val="hybridMultilevel"/>
    <w:tmpl w:val="14D8E298"/>
    <w:lvl w:ilvl="0" w:tplc="FC48FDA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57049"/>
    <w:multiLevelType w:val="hybridMultilevel"/>
    <w:tmpl w:val="A2EEF8CE"/>
    <w:lvl w:ilvl="0" w:tplc="5C7C6A12">
      <w:numFmt w:val="bullet"/>
      <w:lvlText w:val=""/>
      <w:lvlJc w:val="left"/>
      <w:pPr>
        <w:ind w:left="717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600435C7"/>
    <w:multiLevelType w:val="hybridMultilevel"/>
    <w:tmpl w:val="8910CC4E"/>
    <w:lvl w:ilvl="0" w:tplc="FC48FDA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67751E"/>
    <w:multiLevelType w:val="hybridMultilevel"/>
    <w:tmpl w:val="C47685A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E7769"/>
    <w:multiLevelType w:val="hybridMultilevel"/>
    <w:tmpl w:val="2A4612A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A5183E"/>
    <w:multiLevelType w:val="hybridMultilevel"/>
    <w:tmpl w:val="A9549F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6A"/>
    <w:rsid w:val="00022CFA"/>
    <w:rsid w:val="0003480A"/>
    <w:rsid w:val="0006285B"/>
    <w:rsid w:val="00091F9D"/>
    <w:rsid w:val="000C2604"/>
    <w:rsid w:val="000D6AF5"/>
    <w:rsid w:val="000F7341"/>
    <w:rsid w:val="00177E08"/>
    <w:rsid w:val="003276A5"/>
    <w:rsid w:val="003A547C"/>
    <w:rsid w:val="00412464"/>
    <w:rsid w:val="00420A71"/>
    <w:rsid w:val="00462A6A"/>
    <w:rsid w:val="00505F5A"/>
    <w:rsid w:val="00525B86"/>
    <w:rsid w:val="005B11D7"/>
    <w:rsid w:val="005E6018"/>
    <w:rsid w:val="005F63AE"/>
    <w:rsid w:val="0062185B"/>
    <w:rsid w:val="006D037F"/>
    <w:rsid w:val="006E7AFC"/>
    <w:rsid w:val="00877B31"/>
    <w:rsid w:val="009B3F30"/>
    <w:rsid w:val="009E535A"/>
    <w:rsid w:val="00A55415"/>
    <w:rsid w:val="00A87995"/>
    <w:rsid w:val="00BE76A7"/>
    <w:rsid w:val="00C222E9"/>
    <w:rsid w:val="00C55C71"/>
    <w:rsid w:val="00D42CAA"/>
    <w:rsid w:val="00D528DC"/>
    <w:rsid w:val="00D66DA1"/>
    <w:rsid w:val="00D702FA"/>
    <w:rsid w:val="00E3410C"/>
    <w:rsid w:val="00E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C3FB"/>
  <w15:chartTrackingRefBased/>
  <w15:docId w15:val="{8A3D004C-FE22-BE4D-AAAB-4D0D9DDB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A6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5F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2A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2A6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6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2A6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A6A"/>
    <w:rPr>
      <w:rFonts w:ascii="Times New Roman" w:hAnsi="Times New Roman"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6285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2CFA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05F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PmVJQUCm4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ations.msss.gouv.qc.ca/msss/fichiers/2012/12-207-06A.pdf" TargetMode="External"/><Relationship Id="rId12" Type="http://schemas.openxmlformats.org/officeDocument/2006/relationships/hyperlink" Target="https://www.inspq.qc.ca/publications/2920-mesures-travailleuses-enceintes-allaitent-covid19-somma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PmVJQUCm4E" TargetMode="External"/><Relationship Id="rId11" Type="http://schemas.openxmlformats.org/officeDocument/2006/relationships/hyperlink" Target="https://www.inspq.qc.ca/publications/2967-protection-travailleurs-maladies-chroniques-covid-19" TargetMode="External"/><Relationship Id="rId5" Type="http://schemas.openxmlformats.org/officeDocument/2006/relationships/hyperlink" Target="https://www.quebec.ca/en/health/health-issues/a-z/2019-coronavirus/self-isolation/covid-19-self-assessment-tool" TargetMode="External"/><Relationship Id="rId10" Type="http://schemas.openxmlformats.org/officeDocument/2006/relationships/hyperlink" Target="https://www.inspq.qc.ca/publications/2914-protection-travailleurs-immonudeprimes-covid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pq.qc.ca/sites/default/files/covid/formation-sante-au-travail/animations/respiratory-etiquette/stor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1474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Welcker Anne</dc:creator>
  <cp:keywords/>
  <dc:description/>
  <cp:lastModifiedBy>Édith Giasson</cp:lastModifiedBy>
  <cp:revision>2</cp:revision>
  <dcterms:created xsi:type="dcterms:W3CDTF">2022-07-28T19:12:00Z</dcterms:created>
  <dcterms:modified xsi:type="dcterms:W3CDTF">2022-07-28T19:12:00Z</dcterms:modified>
</cp:coreProperties>
</file>