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10" w:rsidRDefault="00747F10">
      <w:r w:rsidRPr="00747F10">
        <w:drawing>
          <wp:inline distT="0" distB="0" distL="0" distR="0">
            <wp:extent cx="1524000" cy="600075"/>
            <wp:effectExtent l="0" t="0" r="0" b="9525"/>
            <wp:docPr id="1" name="Image 1" descr="Logo Era-Net Neu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ra-Net Neu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1A6" w:rsidRPr="00CB41A6">
        <w:rPr>
          <w:b/>
        </w:rPr>
        <w:t>EUROPEAN RESEARCH PROJECTS ON NEUROINFLAMMATION</w:t>
      </w:r>
    </w:p>
    <w:p w:rsidR="00747F10" w:rsidRDefault="00747F10" w:rsidP="00747F10">
      <w:r>
        <w:t xml:space="preserve">Cet </w:t>
      </w:r>
      <w:hyperlink r:id="rId7" w:history="1">
        <w:r w:rsidRPr="000F6924">
          <w:rPr>
            <w:rStyle w:val="Lienhypertexte"/>
          </w:rPr>
          <w:t>appel à proposition</w:t>
        </w:r>
      </w:hyperlink>
      <w:r>
        <w:t xml:space="preserve"> sur la </w:t>
      </w:r>
      <w:r>
        <w:rPr>
          <w:u w:val="single"/>
        </w:rPr>
        <w:t>neuroinflammation</w:t>
      </w:r>
      <w:r>
        <w:t xml:space="preserve"> est destiné à des équipes multinationales et multidisciplinaires et favorise la recherche translationnelle. La neur</w:t>
      </w:r>
      <w:r w:rsidR="00CB41A6">
        <w:t>o</w:t>
      </w:r>
      <w:r>
        <w:t>inflammation doit être le point central du projet de recherche quel que soit le désordre neurologique abordé, sous peine d’inéligibilité.</w:t>
      </w:r>
      <w:r>
        <w:t xml:space="preserve"> Les projets de recherche doivent couvrir au moins l’un des domaines suivants :</w:t>
      </w:r>
    </w:p>
    <w:p w:rsidR="00747F10" w:rsidRDefault="00747F10" w:rsidP="00747F10">
      <w:pPr>
        <w:pStyle w:val="Paragraphedeliste"/>
        <w:numPr>
          <w:ilvl w:val="0"/>
          <w:numId w:val="1"/>
        </w:numPr>
      </w:pPr>
      <w:r>
        <w:t>Recherche fondamentale sur le rôle de la neuroinflammation dans la pathogénèse et/ou l’étiologie des maladies neurales.</w:t>
      </w:r>
    </w:p>
    <w:p w:rsidR="00747F10" w:rsidRDefault="00747F10" w:rsidP="00747F10">
      <w:pPr>
        <w:pStyle w:val="Paragraphedeliste"/>
        <w:numPr>
          <w:ilvl w:val="0"/>
          <w:numId w:val="1"/>
        </w:numPr>
      </w:pPr>
      <w:r>
        <w:t>Recherche sur le développement de nouvelles stratégies diagnostiques, thérapeutiques et de réhabilitation pour des maladies dans lesquelles la neuroinflammation est impliquée.</w:t>
      </w:r>
    </w:p>
    <w:p w:rsidR="00747F10" w:rsidRDefault="00747F10" w:rsidP="00747F10">
      <w:r>
        <w:t>L’équipe doit être constituée d’au moins 3 groupes de recherche de 3 pays différents (max 5 groupes).</w:t>
      </w:r>
      <w:r>
        <w:t xml:space="preserve"> L’</w:t>
      </w:r>
      <w:r w:rsidR="00CB41A6">
        <w:t>intégration</w:t>
      </w:r>
      <w:bookmarkStart w:id="0" w:name="_GoBack"/>
      <w:bookmarkEnd w:id="0"/>
      <w:r>
        <w:t xml:space="preserve"> de jeunes chercheurs dans l’équipe est valori</w:t>
      </w:r>
      <w:r w:rsidR="00B90AE0">
        <w:t>sée. La liste des pays impliqué</w:t>
      </w:r>
      <w:r>
        <w:t>s peut être consultée à</w:t>
      </w:r>
      <w:r w:rsidR="00B90AE0">
        <w:t xml:space="preserve"> </w:t>
      </w:r>
      <w:hyperlink r:id="rId8" w:history="1">
        <w:r w:rsidR="00B90AE0" w:rsidRPr="0049069B">
          <w:rPr>
            <w:rStyle w:val="Lienhypertexte"/>
          </w:rPr>
          <w:t>http://www.neuron-eranet.eu/en/520.php</w:t>
        </w:r>
      </w:hyperlink>
      <w:r w:rsidR="00B90AE0">
        <w:t xml:space="preserve">. </w:t>
      </w:r>
      <w:r>
        <w:t xml:space="preserve">Chaque groupe doit se conformer aux règles d’éligibilité spécifiques à son pays </w:t>
      </w:r>
      <w:r w:rsidR="00B90AE0">
        <w:t>ou sa province.</w:t>
      </w:r>
    </w:p>
    <w:p w:rsidR="00747F10" w:rsidRDefault="00747F10" w:rsidP="00747F10">
      <w:r>
        <w:t>Pour la portion québécoise, le financement sera assuré par le FRQ-S pour max. 75 000$/an pour 3 ans.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357"/>
        <w:gridCol w:w="2243"/>
        <w:gridCol w:w="4155"/>
      </w:tblGrid>
      <w:tr w:rsidR="00C20F56" w:rsidTr="00C20F56">
        <w:tc>
          <w:tcPr>
            <w:tcW w:w="1101" w:type="dxa"/>
            <w:shd w:val="clear" w:color="auto" w:fill="BFBFBF" w:themeFill="background1" w:themeFillShade="BF"/>
          </w:tcPr>
          <w:p w:rsidR="00B90AE0" w:rsidRDefault="00B90AE0" w:rsidP="00747F10"/>
        </w:tc>
        <w:tc>
          <w:tcPr>
            <w:tcW w:w="1357" w:type="dxa"/>
            <w:shd w:val="clear" w:color="auto" w:fill="BFBFBF" w:themeFill="background1" w:themeFillShade="BF"/>
          </w:tcPr>
          <w:p w:rsidR="00B90AE0" w:rsidRDefault="00B90AE0" w:rsidP="00747F10">
            <w:r>
              <w:t>Date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B90AE0" w:rsidRDefault="00B90AE0" w:rsidP="00747F10">
            <w:r>
              <w:t>Formulaire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90AE0" w:rsidRDefault="00B90AE0" w:rsidP="00747F10">
            <w:r>
              <w:t>Information</w:t>
            </w:r>
            <w:r w:rsidR="00C20F56">
              <w:t>s</w:t>
            </w:r>
            <w:r>
              <w:t xml:space="preserve"> spécifique</w:t>
            </w:r>
            <w:r w:rsidR="00C20F56">
              <w:t>s</w:t>
            </w:r>
          </w:p>
        </w:tc>
      </w:tr>
      <w:tr w:rsidR="00C20F56" w:rsidTr="00C20F56">
        <w:tc>
          <w:tcPr>
            <w:tcW w:w="1101" w:type="dxa"/>
          </w:tcPr>
          <w:p w:rsidR="00B90AE0" w:rsidRDefault="00C20F56" w:rsidP="00747F10">
            <w:r>
              <w:t>LDI</w:t>
            </w:r>
          </w:p>
        </w:tc>
        <w:tc>
          <w:tcPr>
            <w:tcW w:w="1357" w:type="dxa"/>
          </w:tcPr>
          <w:p w:rsidR="00B90AE0" w:rsidRDefault="00B90AE0" w:rsidP="00747F10">
            <w:r>
              <w:t>10 mars 2014</w:t>
            </w:r>
          </w:p>
        </w:tc>
        <w:tc>
          <w:tcPr>
            <w:tcW w:w="2243" w:type="dxa"/>
          </w:tcPr>
          <w:p w:rsidR="00B90AE0" w:rsidRDefault="00B90AE0" w:rsidP="00747F10">
            <w:r w:rsidRPr="00B90AE0">
              <w:t>http://www.neuron-eranet.eu/en/516.php</w:t>
            </w:r>
          </w:p>
        </w:tc>
        <w:tc>
          <w:tcPr>
            <w:tcW w:w="0" w:type="auto"/>
          </w:tcPr>
          <w:p w:rsidR="00B90AE0" w:rsidRDefault="00C20F56" w:rsidP="00747F10">
            <w:r>
              <w:t>Soumission électronique, enregistrement préalable</w:t>
            </w:r>
          </w:p>
          <w:p w:rsidR="00C20F56" w:rsidRDefault="00C20F56" w:rsidP="00747F10">
            <w:r w:rsidRPr="00C20F56">
              <w:t>https://www.pt-it.de/ptoutline/application/NEURON7</w:t>
            </w:r>
          </w:p>
        </w:tc>
      </w:tr>
      <w:tr w:rsidR="00C20F56" w:rsidTr="00C20F56">
        <w:tc>
          <w:tcPr>
            <w:tcW w:w="1101" w:type="dxa"/>
          </w:tcPr>
          <w:p w:rsidR="00B90AE0" w:rsidRDefault="00B90AE0" w:rsidP="00747F10">
            <w:r>
              <w:t>Décision</w:t>
            </w:r>
          </w:p>
        </w:tc>
        <w:tc>
          <w:tcPr>
            <w:tcW w:w="1357" w:type="dxa"/>
          </w:tcPr>
          <w:p w:rsidR="00B90AE0" w:rsidRDefault="00C20F56" w:rsidP="00747F10">
            <w:r>
              <w:t>mi-mai 2014</w:t>
            </w:r>
          </w:p>
        </w:tc>
        <w:tc>
          <w:tcPr>
            <w:tcW w:w="2243" w:type="dxa"/>
          </w:tcPr>
          <w:p w:rsidR="00B90AE0" w:rsidRDefault="00B90AE0" w:rsidP="00747F10"/>
        </w:tc>
        <w:tc>
          <w:tcPr>
            <w:tcW w:w="0" w:type="auto"/>
          </w:tcPr>
          <w:p w:rsidR="00B90AE0" w:rsidRDefault="00B90AE0" w:rsidP="00747F10"/>
        </w:tc>
      </w:tr>
      <w:tr w:rsidR="00C20F56" w:rsidTr="00C20F56">
        <w:tc>
          <w:tcPr>
            <w:tcW w:w="1101" w:type="dxa"/>
          </w:tcPr>
          <w:p w:rsidR="00B90AE0" w:rsidRDefault="00B90AE0" w:rsidP="00747F10">
            <w:r>
              <w:t>Demande complète</w:t>
            </w:r>
          </w:p>
        </w:tc>
        <w:tc>
          <w:tcPr>
            <w:tcW w:w="1357" w:type="dxa"/>
          </w:tcPr>
          <w:p w:rsidR="00B90AE0" w:rsidRDefault="00B90AE0" w:rsidP="00747F10">
            <w:r>
              <w:t>24 juin 2014</w:t>
            </w:r>
          </w:p>
        </w:tc>
        <w:tc>
          <w:tcPr>
            <w:tcW w:w="2243" w:type="dxa"/>
          </w:tcPr>
          <w:p w:rsidR="00B90AE0" w:rsidRDefault="00C20F56" w:rsidP="00747F10">
            <w:r>
              <w:t>Demande complète conjointe (en anglais)</w:t>
            </w:r>
          </w:p>
        </w:tc>
        <w:tc>
          <w:tcPr>
            <w:tcW w:w="0" w:type="auto"/>
          </w:tcPr>
          <w:p w:rsidR="00B90AE0" w:rsidRPr="00C20F56" w:rsidRDefault="00C20F56" w:rsidP="00747F10">
            <w:pPr>
              <w:rPr>
                <w:b/>
              </w:rPr>
            </w:pPr>
            <w:r w:rsidRPr="00C20F56">
              <w:rPr>
                <w:b/>
              </w:rPr>
              <w:t>Québec</w:t>
            </w:r>
          </w:p>
          <w:p w:rsidR="00C20F56" w:rsidRDefault="00C20F56" w:rsidP="00747F10">
            <w:r>
              <w:t>Soumission d’un budget séparé au FRQ-S en dollars canadiens</w:t>
            </w:r>
          </w:p>
          <w:p w:rsidR="00C20F56" w:rsidRDefault="00C20F56" w:rsidP="00747F10">
            <w:r>
              <w:t>Dépenses non-admissibles : salaire des chercheurs, bourses pour étudiants, équipements.</w:t>
            </w:r>
          </w:p>
        </w:tc>
      </w:tr>
    </w:tbl>
    <w:p w:rsidR="00747F10" w:rsidRDefault="00B90AE0" w:rsidP="004C7CA9">
      <w:pPr>
        <w:spacing w:after="0"/>
      </w:pPr>
      <w:r>
        <w:t>Les personnes contact dans les organismes subventionnaires sont :</w:t>
      </w:r>
    </w:p>
    <w:p w:rsidR="00B90AE0" w:rsidRPr="00B90AE0" w:rsidRDefault="00B90AE0" w:rsidP="004C7CA9">
      <w:pPr>
        <w:pStyle w:val="Paragraphedeliste"/>
        <w:numPr>
          <w:ilvl w:val="0"/>
          <w:numId w:val="2"/>
        </w:numPr>
        <w:spacing w:after="0"/>
        <w:rPr>
          <w:lang w:val="en-CA"/>
        </w:rPr>
      </w:pPr>
      <w:r w:rsidRPr="00B90AE0">
        <w:rPr>
          <w:lang w:val="en-CA"/>
        </w:rPr>
        <w:t xml:space="preserve">FRQ-S : Karine Genest 514-873-2114 ext. </w:t>
      </w:r>
      <w:r>
        <w:rPr>
          <w:lang w:val="en-CA"/>
        </w:rPr>
        <w:t>1275</w:t>
      </w:r>
    </w:p>
    <w:p w:rsidR="00B90AE0" w:rsidRDefault="00B90AE0" w:rsidP="004C7CA9">
      <w:pPr>
        <w:pStyle w:val="Paragraphedeliste"/>
        <w:numPr>
          <w:ilvl w:val="0"/>
          <w:numId w:val="2"/>
        </w:numPr>
        <w:spacing w:after="0"/>
      </w:pPr>
      <w:r>
        <w:t>IRSC : Jeff Warren 613-948-2813</w:t>
      </w:r>
    </w:p>
    <w:p w:rsidR="00C20F56" w:rsidRDefault="00B90AE0" w:rsidP="00B90AE0">
      <w:r>
        <w:t>Notez que ces deux organismes travaillent conjointement au financement des projets. En fonction du classement, un groupe québécois pourrait recevoir sa subvention des IRSC et non du FRQ-S.</w:t>
      </w:r>
      <w:r w:rsidR="004C7CA9">
        <w:t xml:space="preserve"> Le financement fournit par les IRSC est le même que celui en provenance du FRQ-S en terme de montant et de durée.</w:t>
      </w:r>
    </w:p>
    <w:p w:rsidR="00C20F56" w:rsidRDefault="00C20F56" w:rsidP="00B90AE0">
      <w:r>
        <w:t xml:space="preserve">Pour toute question, n’hésitez pas à contacter </w:t>
      </w:r>
      <w:hyperlink r:id="rId9" w:history="1">
        <w:r w:rsidRPr="00C20F56">
          <w:rPr>
            <w:rStyle w:val="Lienhypertexte"/>
          </w:rPr>
          <w:t>Sophie Gauthier-Clerc</w:t>
        </w:r>
      </w:hyperlink>
      <w:r>
        <w:t>.</w:t>
      </w:r>
    </w:p>
    <w:sectPr w:rsidR="00C20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90F"/>
    <w:multiLevelType w:val="hybridMultilevel"/>
    <w:tmpl w:val="7F3E01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367E"/>
    <w:multiLevelType w:val="hybridMultilevel"/>
    <w:tmpl w:val="60B8E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10"/>
    <w:rsid w:val="000F6924"/>
    <w:rsid w:val="004C7CA9"/>
    <w:rsid w:val="006F2B21"/>
    <w:rsid w:val="00747F10"/>
    <w:rsid w:val="00B90AE0"/>
    <w:rsid w:val="00C20F56"/>
    <w:rsid w:val="00CB41A6"/>
    <w:rsid w:val="00E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F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7F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0AE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F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7F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0AE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n-eranet.eu/en/520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uron-eranet.eu/en/52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phie.gauthier-clerc@umontreal.ca?subject=ERA-Net%20NEUR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bouvetc</dc:creator>
  <cp:lastModifiedBy>bouvetc</cp:lastModifiedBy>
  <cp:revision>4</cp:revision>
  <dcterms:created xsi:type="dcterms:W3CDTF">2014-02-12T15:22:00Z</dcterms:created>
  <dcterms:modified xsi:type="dcterms:W3CDTF">2014-02-12T15:59:00Z</dcterms:modified>
</cp:coreProperties>
</file>